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imes New Roman" w:hAnsi="Times New Roman" w:eastAsia="方正小标宋简体"/>
          <w:kern w:val="0"/>
          <w:sz w:val="44"/>
          <w:szCs w:val="44"/>
        </w:rPr>
      </w:pPr>
      <w:r>
        <w:rPr>
          <w:rFonts w:hint="eastAsia" w:ascii="Times New Roman" w:hAnsi="Times New Roman" w:eastAsia="方正小标宋简体"/>
          <w:kern w:val="0"/>
          <w:sz w:val="44"/>
          <w:szCs w:val="44"/>
        </w:rPr>
        <w:t>中医脉诊</w:t>
      </w:r>
      <w:r>
        <w:rPr>
          <w:rFonts w:hint="eastAsia" w:ascii="Times New Roman" w:hAnsi="Times New Roman" w:eastAsia="方正小标宋简体"/>
          <w:kern w:val="0"/>
          <w:sz w:val="44"/>
          <w:szCs w:val="44"/>
          <w:lang w:val="en-US" w:eastAsia="zh-CN"/>
        </w:rPr>
        <w:t>设备产品</w:t>
      </w:r>
      <w:r>
        <w:rPr>
          <w:rFonts w:hint="eastAsia" w:ascii="Times New Roman" w:hAnsi="Times New Roman" w:eastAsia="方正小标宋简体"/>
          <w:kern w:val="0"/>
          <w:sz w:val="44"/>
          <w:szCs w:val="44"/>
        </w:rPr>
        <w:t>注册审查指导原则</w:t>
      </w:r>
    </w:p>
    <w:p>
      <w:pPr>
        <w:spacing w:line="520" w:lineRule="exact"/>
        <w:jc w:val="center"/>
        <w:rPr>
          <w:rFonts w:hint="eastAsia" w:ascii="方正仿宋_GB2312" w:hAnsi="方正仿宋_GB2312" w:eastAsia="方正仿宋_GB2312" w:cs="方正仿宋_GB2312"/>
          <w:color w:val="000000" w:themeColor="text1"/>
          <w:sz w:val="44"/>
          <w:szCs w:val="44"/>
          <w:highlight w:val="none"/>
          <w14:textFill>
            <w14:solidFill>
              <w14:schemeClr w14:val="tx1"/>
            </w14:solidFill>
          </w14:textFill>
        </w:rPr>
      </w:pPr>
      <w:r>
        <w:rPr>
          <w:rFonts w:hint="eastAsia" w:ascii="Times New Roman" w:hAnsi="Times New Roman" w:eastAsia="方正小标宋简体"/>
          <w:kern w:val="0"/>
          <w:sz w:val="44"/>
          <w:szCs w:val="44"/>
        </w:rPr>
        <w:t>（征求意见稿）</w:t>
      </w:r>
    </w:p>
    <w:p>
      <w:pPr>
        <w:spacing w:line="336" w:lineRule="auto"/>
        <w:ind w:firstLine="562" w:firstLineChars="200"/>
        <w:jc w:val="center"/>
        <w:rPr>
          <w:rFonts w:eastAsia="仿宋_GB2312"/>
          <w:b/>
          <w:bCs/>
          <w:color w:val="000000" w:themeColor="text1"/>
          <w:sz w:val="28"/>
          <w:szCs w:val="28"/>
          <w:highlight w:val="none"/>
          <w14:textFill>
            <w14:solidFill>
              <w14:schemeClr w14:val="tx1"/>
            </w14:solidFill>
          </w14:textFill>
        </w:rPr>
      </w:pP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本指导原则旨在指导注册申请人对中医脉诊设备注册申报资料的准备及撰写，同时也为技术审评部门审查注册申报资料提供参考。</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本指导原则是对中医脉诊设备的一般要求，申请人应依据产品的具体特性确定其中内容是否适用。若不适用，需具体阐述理由及相应的科学依据，并依据产品的具体特性对注册申报资料的内容进行充实和细化。</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本指导原则是在现行法规和标准体系以及当前认知水平下制定，随着法规和标准的不断完善，以及科学技术的不断发展，相关内容也将适时进行调整。</w:t>
      </w:r>
    </w:p>
    <w:p>
      <w:pPr>
        <w:overflowPunct w:val="0"/>
        <w:autoSpaceDE w:val="0"/>
        <w:autoSpaceDN w:val="0"/>
        <w:spacing w:line="520" w:lineRule="exact"/>
        <w:ind w:firstLine="640" w:firstLineChars="200"/>
        <w:outlineLvl w:val="0"/>
        <w:rPr>
          <w:rFonts w:eastAsia="黑体"/>
          <w:snapToGrid w:val="0"/>
          <w:color w:val="000000" w:themeColor="text1"/>
          <w:kern w:val="0"/>
          <w:sz w:val="32"/>
          <w:szCs w:val="32"/>
          <w:highlight w:val="none"/>
          <w14:textFill>
            <w14:solidFill>
              <w14:schemeClr w14:val="tx1"/>
            </w14:solidFill>
          </w14:textFill>
        </w:rPr>
      </w:pPr>
      <w:r>
        <w:rPr>
          <w:rFonts w:eastAsia="黑体"/>
          <w:snapToGrid w:val="0"/>
          <w:color w:val="000000" w:themeColor="text1"/>
          <w:kern w:val="0"/>
          <w:sz w:val="32"/>
          <w:szCs w:val="32"/>
          <w:highlight w:val="none"/>
          <w14:textFill>
            <w14:solidFill>
              <w14:schemeClr w14:val="tx1"/>
            </w14:solidFill>
          </w14:textFill>
        </w:rPr>
        <w:t>一、适用范围</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本指导原则适用于中医脉诊设备</w:t>
      </w:r>
      <w:r>
        <w:rPr>
          <w:rFonts w:hint="eastAsia" w:eastAsia="仿宋_GB2312"/>
          <w:color w:val="000000" w:themeColor="text1"/>
          <w:kern w:val="0"/>
          <w:sz w:val="32"/>
          <w:szCs w:val="32"/>
          <w:highlight w:val="none"/>
          <w:lang w:eastAsia="zh-CN"/>
          <w14:textFill>
            <w14:solidFill>
              <w14:schemeClr w14:val="tx1"/>
            </w14:solidFill>
          </w14:textFill>
        </w:rPr>
        <w:t>。</w:t>
      </w:r>
      <w:r>
        <w:rPr>
          <w:rFonts w:eastAsia="仿宋_GB2312"/>
          <w:color w:val="000000" w:themeColor="text1"/>
          <w:kern w:val="0"/>
          <w:sz w:val="32"/>
          <w:szCs w:val="32"/>
          <w:highlight w:val="none"/>
          <w14:textFill>
            <w14:solidFill>
              <w14:schemeClr w14:val="tx1"/>
            </w14:solidFill>
          </w14:textFill>
        </w:rPr>
        <w:t>根据《医疗器械分类目录》，申报产品的管理分类为Ⅱ类，管理代号为20中医器械-01中医诊断设备-01脉诊设备，</w:t>
      </w:r>
      <w:r>
        <w:rPr>
          <w:rFonts w:hint="eastAsia" w:eastAsia="仿宋_GB2312"/>
          <w:color w:val="000000" w:themeColor="text1"/>
          <w:kern w:val="0"/>
          <w:sz w:val="32"/>
          <w:szCs w:val="32"/>
          <w:highlight w:val="none"/>
          <w:lang w:val="en-US" w:eastAsia="zh-CN"/>
          <w14:textFill>
            <w14:solidFill>
              <w14:schemeClr w14:val="tx1"/>
            </w14:solidFill>
          </w14:textFill>
        </w:rPr>
        <w:t>指</w:t>
      </w:r>
      <w:r>
        <w:rPr>
          <w:rFonts w:hint="default" w:eastAsia="仿宋_GB2312"/>
          <w:color w:val="000000" w:themeColor="text1"/>
          <w:kern w:val="0"/>
          <w:sz w:val="32"/>
          <w:szCs w:val="32"/>
          <w:highlight w:val="none"/>
          <w14:textFill>
            <w14:solidFill>
              <w14:schemeClr w14:val="tx1"/>
            </w14:solidFill>
          </w14:textFill>
        </w:rPr>
        <w:t>通常由主机、加压装置和压力传感器组成。经压力传感器通过皮表对桡动脉及周边组织的腕部寸、关、尺部位以无创的方式，在施加外力的条件下进行脉图采集的设备</w:t>
      </w:r>
      <w:r>
        <w:rPr>
          <w:rFonts w:eastAsia="仿宋_GB2312"/>
          <w:color w:val="000000" w:themeColor="text1"/>
          <w:kern w:val="0"/>
          <w:sz w:val="32"/>
          <w:szCs w:val="32"/>
          <w:highlight w:val="none"/>
          <w14:textFill>
            <w14:solidFill>
              <w14:schemeClr w14:val="tx1"/>
            </w14:solidFill>
          </w14:textFill>
        </w:rPr>
        <w:t>。本指导原则同样适用于中医临床用于采集、存储脉象数据，计算脉象参数特征信息</w:t>
      </w:r>
      <w:r>
        <w:rPr>
          <w:rFonts w:hint="eastAsia" w:eastAsia="仿宋_GB2312"/>
          <w:color w:val="000000" w:themeColor="text1"/>
          <w:kern w:val="0"/>
          <w:sz w:val="32"/>
          <w:szCs w:val="32"/>
          <w:highlight w:val="none"/>
          <w:lang w:val="en-US" w:eastAsia="zh-CN"/>
          <w14:textFill>
            <w14:solidFill>
              <w14:schemeClr w14:val="tx1"/>
            </w14:solidFill>
          </w14:textFill>
        </w:rPr>
        <w:t>的</w:t>
      </w:r>
      <w:r>
        <w:rPr>
          <w:rFonts w:hint="eastAsia" w:eastAsia="仿宋_GB2312"/>
          <w:color w:val="000000" w:themeColor="text1"/>
          <w:kern w:val="0"/>
          <w:sz w:val="32"/>
          <w:szCs w:val="32"/>
          <w:highlight w:val="none"/>
          <w:lang w:val="en-US" w:eastAsia="zh-CN"/>
          <w14:textFill>
            <w14:solidFill>
              <w14:schemeClr w14:val="tx1"/>
            </w14:solidFill>
          </w14:textFill>
        </w:rPr>
        <w:t>设备。</w:t>
      </w:r>
      <w:r>
        <w:rPr>
          <w:rFonts w:eastAsia="仿宋_GB2312"/>
          <w:color w:val="000000" w:themeColor="text1"/>
          <w:kern w:val="0"/>
          <w:sz w:val="32"/>
          <w:szCs w:val="32"/>
          <w:highlight w:val="none"/>
          <w14:textFill>
            <w14:solidFill>
              <w14:schemeClr w14:val="tx1"/>
            </w14:solidFill>
          </w14:textFill>
        </w:rPr>
        <w:t>其</w:t>
      </w:r>
      <w:r>
        <w:rPr>
          <w:rFonts w:hint="eastAsia" w:eastAsia="仿宋_GB2312"/>
          <w:color w:val="000000" w:themeColor="text1"/>
          <w:kern w:val="0"/>
          <w:sz w:val="32"/>
          <w:szCs w:val="32"/>
          <w:highlight w:val="none"/>
          <w:lang w:val="en-US" w:eastAsia="zh-CN"/>
          <w14:textFill>
            <w14:solidFill>
              <w14:schemeClr w14:val="tx1"/>
            </w14:solidFill>
          </w14:textFill>
        </w:rPr>
        <w:t>他</w:t>
      </w:r>
      <w:r>
        <w:rPr>
          <w:rFonts w:eastAsia="仿宋_GB2312"/>
          <w:color w:val="000000" w:themeColor="text1"/>
          <w:kern w:val="0"/>
          <w:sz w:val="32"/>
          <w:szCs w:val="32"/>
          <w:highlight w:val="none"/>
          <w14:textFill>
            <w14:solidFill>
              <w14:schemeClr w14:val="tx1"/>
            </w14:solidFill>
          </w14:textFill>
        </w:rPr>
        <w:t>包含中医脉图数据采集、存储与参数计算功能的组合式医疗器械的相关部分可参考本指导原则的适用部分。</w:t>
      </w:r>
    </w:p>
    <w:p>
      <w:pPr>
        <w:overflowPunct w:val="0"/>
        <w:autoSpaceDE w:val="0"/>
        <w:autoSpaceDN w:val="0"/>
        <w:spacing w:line="520" w:lineRule="exact"/>
        <w:ind w:firstLine="640" w:firstLineChars="200"/>
        <w:outlineLvl w:val="0"/>
        <w:rPr>
          <w:rFonts w:eastAsia="黑体"/>
          <w:snapToGrid w:val="0"/>
          <w:color w:val="000000" w:themeColor="text1"/>
          <w:kern w:val="0"/>
          <w:sz w:val="32"/>
          <w:szCs w:val="32"/>
          <w:highlight w:val="none"/>
          <w14:textFill>
            <w14:solidFill>
              <w14:schemeClr w14:val="tx1"/>
            </w14:solidFill>
          </w14:textFill>
        </w:rPr>
      </w:pPr>
      <w:r>
        <w:rPr>
          <w:rFonts w:eastAsia="黑体"/>
          <w:snapToGrid w:val="0"/>
          <w:color w:val="000000" w:themeColor="text1"/>
          <w:kern w:val="0"/>
          <w:sz w:val="32"/>
          <w:szCs w:val="32"/>
          <w:highlight w:val="none"/>
          <w14:textFill>
            <w14:solidFill>
              <w14:schemeClr w14:val="tx1"/>
            </w14:solidFill>
          </w14:textFill>
        </w:rPr>
        <w:t>二、注册审查要点</w:t>
      </w:r>
    </w:p>
    <w:p>
      <w:pPr>
        <w:spacing w:line="520" w:lineRule="exact"/>
        <w:ind w:firstLine="640" w:firstLineChars="200"/>
        <w:jc w:val="left"/>
        <w:outlineLvl w:val="1"/>
        <w:rPr>
          <w:rFonts w:ascii="Times New Roman" w:hAnsi="Times New Roman" w:eastAsia="楷体_GB2312"/>
          <w:color w:val="000000"/>
          <w:sz w:val="32"/>
          <w:szCs w:val="32"/>
        </w:rPr>
      </w:pPr>
      <w:r>
        <w:rPr>
          <w:rFonts w:ascii="Times New Roman" w:hAnsi="Times New Roman" w:eastAsia="楷体_GB2312"/>
          <w:color w:val="000000"/>
          <w:sz w:val="32"/>
          <w:szCs w:val="32"/>
        </w:rPr>
        <w:t>（一）监管信息</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注册申请人（以下简称申请人）需要描述申报产品的管理类别、分类编码、产品名称的确定依据。</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1.产品名称</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产品的命名应符合《医疗器械通用名称命名规则》和国家标准、行业标准上的通用名称要求。参照《医疗器械通用名称命名指导原则》确定产品名称，产品名称由一个核心词和不超过三个的特征词组成，如“脉象诊测信息采集系统”、“中医脉象诊断系统”、“脉诊仪”、“脉象仪”。若产品具有其他性能特征，如加压压力与采集位置可调、数据存储传输等性能可体现在产品技术要求中，不必体现在产品名称中。</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2.分类编码</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根据《医疗器械分类目录》，</w:t>
      </w:r>
      <w:bookmarkStart w:id="0" w:name="OLE_LINK1"/>
      <w:r>
        <w:rPr>
          <w:rFonts w:eastAsia="仿宋_GB2312"/>
          <w:color w:val="000000" w:themeColor="text1"/>
          <w:kern w:val="0"/>
          <w:sz w:val="32"/>
          <w:szCs w:val="32"/>
          <w:highlight w:val="none"/>
          <w14:textFill>
            <w14:solidFill>
              <w14:schemeClr w14:val="tx1"/>
            </w14:solidFill>
          </w14:textFill>
        </w:rPr>
        <w:t>分类编码为20-01-01，管理类别为Ⅱ类。</w:t>
      </w:r>
    </w:p>
    <w:bookmarkEnd w:id="0"/>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3.注册单元划分的原则和实例</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注册单元划分应符合《医疗器械注册单元划分指导原则》的要求，原则上以申报产品的技术原理、结构组成和适用范围为划分依据。性能差异较大、核心功能的实现原理差异较大、结构组成差异较大的应考虑划分为不同的注册单元。</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例如：按照产品的工作方式区分为台车/便携/可穿戴式需划分为不同的注册单元。按照主机类型是硬件控制型/软件控制型需划分为不同的注册单元。按照产品的加压方式区分为气动加压/电机加压/手动加压需划分为不同的注册单元。按照脉图数据采集传感器的工作原理不同需划分为不同的注册单元。按照产品的预期用途不同需划分为不同的注册单元。</w:t>
      </w:r>
    </w:p>
    <w:p>
      <w:pPr>
        <w:spacing w:line="520" w:lineRule="exact"/>
        <w:ind w:firstLine="640" w:firstLineChars="200"/>
        <w:jc w:val="left"/>
        <w:outlineLvl w:val="1"/>
        <w:rPr>
          <w:rFonts w:ascii="Times New Roman" w:hAnsi="Times New Roman" w:eastAsia="楷体_GB2312"/>
          <w:color w:val="000000"/>
          <w:sz w:val="32"/>
          <w:szCs w:val="32"/>
        </w:rPr>
      </w:pPr>
      <w:r>
        <w:rPr>
          <w:rFonts w:ascii="Times New Roman" w:hAnsi="Times New Roman" w:eastAsia="楷体_GB2312"/>
          <w:color w:val="000000"/>
          <w:sz w:val="32"/>
          <w:szCs w:val="32"/>
        </w:rPr>
        <w:t>（二）综述</w:t>
      </w:r>
      <w:r>
        <w:rPr>
          <w:rFonts w:hint="eastAsia" w:ascii="Times New Roman" w:hAnsi="Times New Roman" w:eastAsia="楷体_GB2312"/>
          <w:color w:val="000000"/>
          <w:sz w:val="32"/>
          <w:szCs w:val="32"/>
        </w:rPr>
        <w:t>资料</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1.概述</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申请人需描述中医脉诊设备的通用名称及确定依据、产品适用范围。如适用，申请人应提供设备的背景信息概述。</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2.产品描述</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2.1设备的结构组成</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中医脉诊设备包含压力传感器、</w:t>
      </w:r>
      <w:r>
        <w:rPr>
          <w:rFonts w:hint="eastAsia" w:eastAsia="仿宋_GB2312"/>
          <w:color w:val="000000" w:themeColor="text1"/>
          <w:kern w:val="0"/>
          <w:sz w:val="32"/>
          <w:szCs w:val="32"/>
          <w:highlight w:val="none"/>
          <w:lang w:eastAsia="zh-CN"/>
          <w14:textFill>
            <w14:solidFill>
              <w14:schemeClr w14:val="tx1"/>
            </w14:solidFill>
          </w14:textFill>
        </w:rPr>
        <w:t>加压装置</w:t>
      </w:r>
      <w:r>
        <w:rPr>
          <w:rFonts w:eastAsia="仿宋_GB2312"/>
          <w:color w:val="000000" w:themeColor="text1"/>
          <w:kern w:val="0"/>
          <w:sz w:val="32"/>
          <w:szCs w:val="32"/>
          <w:highlight w:val="none"/>
          <w14:textFill>
            <w14:solidFill>
              <w14:schemeClr w14:val="tx1"/>
            </w14:solidFill>
          </w14:textFill>
        </w:rPr>
        <w:t>、数据采集部件。不同类型的脉诊产品可能包含：电脑主机、软件、显示设备，以及其</w:t>
      </w:r>
      <w:r>
        <w:rPr>
          <w:rFonts w:hint="eastAsia" w:eastAsia="仿宋_GB2312"/>
          <w:color w:val="000000" w:themeColor="text1"/>
          <w:kern w:val="0"/>
          <w:sz w:val="32"/>
          <w:szCs w:val="32"/>
          <w:highlight w:val="none"/>
          <w:lang w:val="en-US" w:eastAsia="zh-CN"/>
          <w14:textFill>
            <w14:solidFill>
              <w14:schemeClr w14:val="tx1"/>
            </w14:solidFill>
          </w14:textFill>
        </w:rPr>
        <w:t>他</w:t>
      </w:r>
      <w:r>
        <w:rPr>
          <w:rFonts w:eastAsia="仿宋_GB2312"/>
          <w:color w:val="000000" w:themeColor="text1"/>
          <w:kern w:val="0"/>
          <w:sz w:val="32"/>
          <w:szCs w:val="32"/>
          <w:highlight w:val="none"/>
          <w14:textFill>
            <w14:solidFill>
              <w14:schemeClr w14:val="tx1"/>
            </w14:solidFill>
          </w14:textFill>
        </w:rPr>
        <w:t xml:space="preserve">为实现中医脉象数据采集、存储、计算功能而配合使用的模块或部件。 </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spacing w:val="0"/>
          <w:kern w:val="0"/>
          <w:sz w:val="32"/>
          <w:szCs w:val="32"/>
          <w:highlight w:val="none"/>
          <w14:textFill>
            <w14:solidFill>
              <w14:schemeClr w14:val="tx1"/>
            </w14:solidFill>
          </w14:textFill>
        </w:rPr>
        <w:t>产品</w:t>
      </w:r>
      <w:r>
        <w:rPr>
          <w:rFonts w:hint="eastAsia" w:eastAsia="仿宋_GB2312"/>
          <w:color w:val="000000" w:themeColor="text1"/>
          <w:spacing w:val="0"/>
          <w:kern w:val="0"/>
          <w:sz w:val="32"/>
          <w:szCs w:val="32"/>
          <w:highlight w:val="none"/>
          <w:lang w:val="en-US" w:eastAsia="zh-CN"/>
          <w14:textFill>
            <w14:solidFill>
              <w14:schemeClr w14:val="tx1"/>
            </w14:solidFill>
          </w14:textFill>
        </w:rPr>
        <w:t>典型</w:t>
      </w:r>
      <w:r>
        <w:rPr>
          <w:rFonts w:eastAsia="仿宋_GB2312"/>
          <w:color w:val="000000" w:themeColor="text1"/>
          <w:spacing w:val="0"/>
          <w:kern w:val="0"/>
          <w:sz w:val="32"/>
          <w:szCs w:val="32"/>
          <w:highlight w:val="none"/>
          <w14:textFill>
            <w14:solidFill>
              <w14:schemeClr w14:val="tx1"/>
            </w14:solidFill>
          </w14:textFill>
        </w:rPr>
        <w:t>结构示意图见图1。</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hint="eastAsia" w:eastAsia="仿宋_GB2312"/>
          <w:color w:val="000000" w:themeColor="text1"/>
          <w:kern w:val="0"/>
          <w:sz w:val="32"/>
          <w:szCs w:val="32"/>
          <w:highlight w:val="none"/>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643255</wp:posOffset>
            </wp:positionH>
            <wp:positionV relativeFrom="paragraph">
              <wp:posOffset>69215</wp:posOffset>
            </wp:positionV>
            <wp:extent cx="4434840" cy="2573655"/>
            <wp:effectExtent l="0" t="0" r="3810" b="17145"/>
            <wp:wrapNone/>
            <wp:docPr id="5" name="图片 5" descr="ffad61a06c1278a253ad11f3481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fad61a06c1278a253ad11f34814712"/>
                    <pic:cNvPicPr>
                      <a:picLocks noChangeAspect="1"/>
                    </pic:cNvPicPr>
                  </pic:nvPicPr>
                  <pic:blipFill>
                    <a:blip r:embed="rId6"/>
                    <a:stretch>
                      <a:fillRect/>
                    </a:stretch>
                  </pic:blipFill>
                  <pic:spPr>
                    <a:xfrm>
                      <a:off x="0" y="0"/>
                      <a:ext cx="4434840" cy="2573655"/>
                    </a:xfrm>
                    <a:prstGeom prst="rect">
                      <a:avLst/>
                    </a:prstGeom>
                  </pic:spPr>
                </pic:pic>
              </a:graphicData>
            </a:graphic>
          </wp:anchor>
        </w:drawing>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p>
    <w:p>
      <w:pPr>
        <w:spacing w:line="520" w:lineRule="exact"/>
        <w:ind w:firstLine="640" w:firstLineChars="200"/>
        <w:rPr>
          <w:rFonts w:hint="eastAsia" w:eastAsia="仿宋_GB2312"/>
          <w:color w:val="000000" w:themeColor="text1"/>
          <w:kern w:val="0"/>
          <w:sz w:val="32"/>
          <w:szCs w:val="32"/>
          <w:highlight w:val="none"/>
          <w:lang w:eastAsia="zh-CN"/>
          <w14:textFill>
            <w14:solidFill>
              <w14:schemeClr w14:val="tx1"/>
            </w14:solidFill>
          </w14:textFill>
        </w:rPr>
      </w:pP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p>
    <w:p>
      <w:pPr>
        <w:spacing w:line="240" w:lineRule="auto"/>
        <w:ind w:firstLine="0" w:firstLineChars="0"/>
        <w:jc w:val="center"/>
        <w:rPr>
          <w:rFonts w:eastAsia="仿宋_GB2312"/>
          <w:color w:val="000000" w:themeColor="text1"/>
          <w:kern w:val="0"/>
          <w:sz w:val="32"/>
          <w:szCs w:val="32"/>
          <w:highlight w:val="none"/>
          <w14:textFill>
            <w14:solidFill>
              <w14:schemeClr w14:val="tx1"/>
            </w14:solidFill>
          </w14:textFill>
        </w:rPr>
      </w:pPr>
      <w:r>
        <w:rPr>
          <w:rFonts w:eastAsia="黑体"/>
          <w:color w:val="000000" w:themeColor="text1"/>
          <w:sz w:val="28"/>
          <w:szCs w:val="28"/>
          <w:highlight w:val="none"/>
          <w14:textFill>
            <w14:solidFill>
              <w14:schemeClr w14:val="tx1"/>
            </w14:solidFill>
          </w14:textFill>
        </w:rPr>
        <w:t xml:space="preserve">图1 </w:t>
      </w:r>
      <w:r>
        <w:rPr>
          <w:rFonts w:hint="eastAsia" w:eastAsia="黑体"/>
          <w:color w:val="000000" w:themeColor="text1"/>
          <w:sz w:val="28"/>
          <w:szCs w:val="28"/>
          <w:highlight w:val="none"/>
          <w:lang w:val="en-US" w:eastAsia="zh-CN"/>
          <w14:textFill>
            <w14:solidFill>
              <w14:schemeClr w14:val="tx1"/>
            </w14:solidFill>
          </w14:textFill>
        </w:rPr>
        <w:t>脉诊仪产品典型</w:t>
      </w:r>
      <w:r>
        <w:rPr>
          <w:rFonts w:eastAsia="黑体"/>
          <w:color w:val="000000" w:themeColor="text1"/>
          <w:sz w:val="28"/>
          <w:szCs w:val="28"/>
          <w:highlight w:val="none"/>
          <w14:textFill>
            <w14:solidFill>
              <w14:schemeClr w14:val="tx1"/>
            </w14:solidFill>
          </w14:textFill>
        </w:rPr>
        <w:t>结构示意图</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申请人应对产品构造进行描述，包括主要结构组成和关键部件，并给出各个模块的详细文字或者图片的说明与标识。</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2.2工作原理</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中医脉诊设备通过</w:t>
      </w:r>
      <w:r>
        <w:rPr>
          <w:rFonts w:hint="eastAsia" w:eastAsia="仿宋_GB2312"/>
          <w:color w:val="000000" w:themeColor="text1"/>
          <w:kern w:val="0"/>
          <w:sz w:val="32"/>
          <w:szCs w:val="32"/>
          <w:highlight w:val="none"/>
          <w:lang w:eastAsia="zh-CN"/>
          <w14:textFill>
            <w14:solidFill>
              <w14:schemeClr w14:val="tx1"/>
            </w14:solidFill>
          </w14:textFill>
        </w:rPr>
        <w:t>加压装置</w:t>
      </w:r>
      <w:r>
        <w:rPr>
          <w:rFonts w:eastAsia="仿宋_GB2312"/>
          <w:color w:val="000000" w:themeColor="text1"/>
          <w:kern w:val="0"/>
          <w:sz w:val="32"/>
          <w:szCs w:val="32"/>
          <w:highlight w:val="none"/>
          <w14:textFill>
            <w14:solidFill>
              <w14:schemeClr w14:val="tx1"/>
            </w14:solidFill>
          </w14:textFill>
        </w:rPr>
        <w:t>将压力传感器压至腕部桡动脉寸、关、尺部位，并施加不同的压力，通过数据采集部件采集脉象数据。通过其他配合使用的模块实现对中医脉象数据的采集、存储、计算等功能。</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按照同时采集脉搏信号的个数分为单点、三点、多点传感器。</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按照操作方式分为自动加压和手动加压，手动加压为操作者采用手动的方式操作</w:t>
      </w:r>
      <w:r>
        <w:rPr>
          <w:rFonts w:hint="eastAsia" w:eastAsia="仿宋_GB2312"/>
          <w:color w:val="000000" w:themeColor="text1"/>
          <w:kern w:val="0"/>
          <w:sz w:val="32"/>
          <w:szCs w:val="32"/>
          <w:highlight w:val="none"/>
          <w:lang w:eastAsia="zh-CN"/>
          <w14:textFill>
            <w14:solidFill>
              <w14:schemeClr w14:val="tx1"/>
            </w14:solidFill>
          </w14:textFill>
        </w:rPr>
        <w:t>加压装置</w:t>
      </w:r>
      <w:r>
        <w:rPr>
          <w:rFonts w:eastAsia="仿宋_GB2312"/>
          <w:color w:val="000000" w:themeColor="text1"/>
          <w:kern w:val="0"/>
          <w:sz w:val="32"/>
          <w:szCs w:val="32"/>
          <w:highlight w:val="none"/>
          <w14:textFill>
            <w14:solidFill>
              <w14:schemeClr w14:val="tx1"/>
            </w14:solidFill>
          </w14:textFill>
        </w:rPr>
        <w:t>，实现申报产品施加在桡动脉采集位置的压力变化。自动加压为申报产品可以通过电子装置实现施加在桡动脉采集位置的压力变化。</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根据</w:t>
      </w:r>
      <w:r>
        <w:rPr>
          <w:rFonts w:hint="eastAsia" w:eastAsia="仿宋_GB2312"/>
          <w:color w:val="000000" w:themeColor="text1"/>
          <w:kern w:val="0"/>
          <w:sz w:val="32"/>
          <w:szCs w:val="32"/>
          <w:highlight w:val="none"/>
          <w:lang w:eastAsia="zh-CN"/>
          <w14:textFill>
            <w14:solidFill>
              <w14:schemeClr w14:val="tx1"/>
            </w14:solidFill>
          </w14:textFill>
        </w:rPr>
        <w:t>加压装置</w:t>
      </w:r>
      <w:r>
        <w:rPr>
          <w:rFonts w:eastAsia="仿宋_GB2312"/>
          <w:color w:val="000000" w:themeColor="text1"/>
          <w:kern w:val="0"/>
          <w:sz w:val="32"/>
          <w:szCs w:val="32"/>
          <w:highlight w:val="none"/>
          <w14:textFill>
            <w14:solidFill>
              <w14:schemeClr w14:val="tx1"/>
            </w14:solidFill>
          </w14:textFill>
        </w:rPr>
        <w:t>的工作原理，自动加压一般分为气动加压和电机加压两种方式。气动加压装置通过可调节内部压力的气囊与传感器连接，通过改变气囊内压强来推动压力传感器，实现不同压力下采集脉图数据。电机加压装置通过电机推动压力传感器实现不同压力下采集脉图数据。</w:t>
      </w:r>
    </w:p>
    <w:p>
      <w:pPr>
        <w:spacing w:line="520" w:lineRule="exact"/>
        <w:ind w:firstLine="640" w:firstLineChars="200"/>
        <w:rPr>
          <w:rFonts w:hint="default" w:eastAsia="仿宋_GB2312"/>
          <w:color w:val="000000" w:themeColor="text1"/>
          <w:kern w:val="0"/>
          <w:sz w:val="32"/>
          <w:szCs w:val="32"/>
          <w:highlight w:val="none"/>
          <w:lang w:val="en-US" w:eastAsia="zh-CN"/>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申请人应根据申报产品特点明确</w:t>
      </w:r>
      <w:r>
        <w:rPr>
          <w:rFonts w:hint="eastAsia" w:eastAsia="仿宋_GB2312"/>
          <w:color w:val="000000" w:themeColor="text1"/>
          <w:kern w:val="0"/>
          <w:sz w:val="32"/>
          <w:szCs w:val="32"/>
          <w:highlight w:val="none"/>
          <w:lang w:eastAsia="zh-CN"/>
          <w14:textFill>
            <w14:solidFill>
              <w14:schemeClr w14:val="tx1"/>
            </w14:solidFill>
          </w14:textFill>
        </w:rPr>
        <w:t>加压装置</w:t>
      </w:r>
      <w:r>
        <w:rPr>
          <w:rFonts w:eastAsia="仿宋_GB2312"/>
          <w:color w:val="000000" w:themeColor="text1"/>
          <w:kern w:val="0"/>
          <w:sz w:val="32"/>
          <w:szCs w:val="32"/>
          <w:highlight w:val="none"/>
          <w14:textFill>
            <w14:solidFill>
              <w14:schemeClr w14:val="tx1"/>
            </w14:solidFill>
          </w14:textFill>
        </w:rPr>
        <w:t>的工作原理、</w:t>
      </w:r>
      <w:r>
        <w:rPr>
          <w:rFonts w:hint="eastAsia" w:eastAsia="仿宋_GB2312"/>
          <w:color w:val="000000" w:themeColor="text1"/>
          <w:kern w:val="0"/>
          <w:sz w:val="32"/>
          <w:szCs w:val="32"/>
          <w:highlight w:val="none"/>
          <w:lang w:eastAsia="zh-CN"/>
          <w14:textFill>
            <w14:solidFill>
              <w14:schemeClr w14:val="tx1"/>
            </w14:solidFill>
          </w14:textFill>
        </w:rPr>
        <w:t>加压装置</w:t>
      </w:r>
      <w:r>
        <w:rPr>
          <w:rFonts w:eastAsia="仿宋_GB2312"/>
          <w:color w:val="000000" w:themeColor="text1"/>
          <w:kern w:val="0"/>
          <w:sz w:val="32"/>
          <w:szCs w:val="32"/>
          <w:highlight w:val="none"/>
          <w14:textFill>
            <w14:solidFill>
              <w14:schemeClr w14:val="tx1"/>
            </w14:solidFill>
          </w14:textFill>
        </w:rPr>
        <w:t>与压力传感器的连接方式。如申报产品预期用途包含对脉图数据的计算和存储功能，需明确申报产品工作时所依据的脉诊理论来源，列出具有说服力的中医诊断教材或者已发表的论文著作。对于实现预期用途的方法以及数据存储的情况进行描述，并说明采用该方法的原因和理论基础。</w:t>
      </w:r>
      <w:r>
        <w:rPr>
          <w:rFonts w:hint="eastAsia" w:eastAsia="仿宋_GB2312"/>
          <w:color w:val="000000" w:themeColor="text1"/>
          <w:kern w:val="0"/>
          <w:sz w:val="32"/>
          <w:szCs w:val="32"/>
          <w:highlight w:val="none"/>
          <w:lang w:val="en-US" w:eastAsia="zh-CN"/>
          <w14:textFill>
            <w14:solidFill>
              <w14:schemeClr w14:val="tx1"/>
            </w14:solidFill>
          </w14:textFill>
        </w:rPr>
        <w:t>产品功能原理见图2。</w:t>
      </w:r>
    </w:p>
    <w:p>
      <w:pPr>
        <w:spacing w:line="520" w:lineRule="exact"/>
        <w:ind w:firstLine="640" w:firstLineChars="200"/>
        <w:rPr>
          <w:rFonts w:hint="eastAsia" w:eastAsia="仿宋_GB2312"/>
          <w:color w:val="000000" w:themeColor="text1"/>
          <w:kern w:val="0"/>
          <w:sz w:val="32"/>
          <w:szCs w:val="32"/>
          <w:highlight w:val="none"/>
          <w:lang w:eastAsia="zh-CN"/>
          <w14:textFill>
            <w14:solidFill>
              <w14:schemeClr w14:val="tx1"/>
            </w14:solidFill>
          </w14:textFill>
        </w:rPr>
      </w:pPr>
      <w:r>
        <w:rPr>
          <w:rFonts w:hint="eastAsia" w:eastAsia="仿宋_GB2312"/>
          <w:color w:val="000000" w:themeColor="text1"/>
          <w:kern w:val="0"/>
          <w:sz w:val="32"/>
          <w:szCs w:val="32"/>
          <w:highlight w:val="none"/>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1247775</wp:posOffset>
            </wp:positionH>
            <wp:positionV relativeFrom="paragraph">
              <wp:posOffset>40640</wp:posOffset>
            </wp:positionV>
            <wp:extent cx="3156585" cy="2768600"/>
            <wp:effectExtent l="0" t="0" r="5715" b="12700"/>
            <wp:wrapNone/>
            <wp:docPr id="6" name="图片 6" descr="d8240f1988e918f5b2b5a8a1b175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8240f1988e918f5b2b5a8a1b175f2b"/>
                    <pic:cNvPicPr>
                      <a:picLocks noChangeAspect="1"/>
                    </pic:cNvPicPr>
                  </pic:nvPicPr>
                  <pic:blipFill>
                    <a:blip r:embed="rId7"/>
                    <a:stretch>
                      <a:fillRect/>
                    </a:stretch>
                  </pic:blipFill>
                  <pic:spPr>
                    <a:xfrm>
                      <a:off x="0" y="0"/>
                      <a:ext cx="3156585" cy="2768600"/>
                    </a:xfrm>
                    <a:prstGeom prst="rect">
                      <a:avLst/>
                    </a:prstGeom>
                  </pic:spPr>
                </pic:pic>
              </a:graphicData>
            </a:graphic>
          </wp:anchor>
        </w:drawing>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p>
    <w:p>
      <w:pPr>
        <w:spacing w:line="520" w:lineRule="exact"/>
        <w:ind w:firstLine="640" w:firstLineChars="200"/>
        <w:rPr>
          <w:rFonts w:hint="eastAsia" w:eastAsia="仿宋_GB2312"/>
          <w:color w:val="000000" w:themeColor="text1"/>
          <w:kern w:val="0"/>
          <w:sz w:val="32"/>
          <w:szCs w:val="32"/>
          <w:highlight w:val="none"/>
          <w:lang w:eastAsia="zh-CN"/>
          <w14:textFill>
            <w14:solidFill>
              <w14:schemeClr w14:val="tx1"/>
            </w14:solidFill>
          </w14:textFill>
        </w:rPr>
      </w:pP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p>
    <w:p>
      <w:pPr>
        <w:jc w:val="center"/>
        <w:rPr>
          <w:rFonts w:eastAsia="黑体"/>
          <w:color w:val="000000" w:themeColor="text1"/>
          <w:sz w:val="28"/>
          <w:szCs w:val="28"/>
          <w:highlight w:val="none"/>
          <w14:textFill>
            <w14:solidFill>
              <w14:schemeClr w14:val="tx1"/>
            </w14:solidFill>
          </w14:textFill>
        </w:rPr>
      </w:pPr>
    </w:p>
    <w:p>
      <w:pPr>
        <w:jc w:val="center"/>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14:textFill>
            <w14:solidFill>
              <w14:schemeClr w14:val="tx1"/>
            </w14:solidFill>
          </w14:textFill>
        </w:rPr>
        <w:t>图2 产品的功能原理图</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2.3型号规格</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申请人需要详细说明申报产品的型号规格，如申报产品存在多个型号规格或配置，需要详细说明各个型号规格、配置之间的差异，包括：结构组成、技术特征、性能指标、工作方式、适用范围、使用环境等内容。申请人需要以对比表格的形式，附带详细的文字和图片解释不同型号规格之间的差异。</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2.</w:t>
      </w:r>
      <w:r>
        <w:rPr>
          <w:rFonts w:hint="eastAsia" w:eastAsia="仿宋_GB2312"/>
          <w:color w:val="000000" w:themeColor="text1"/>
          <w:kern w:val="0"/>
          <w:sz w:val="32"/>
          <w:szCs w:val="32"/>
          <w:highlight w:val="none"/>
          <w:lang w:val="en-US" w:eastAsia="zh-CN"/>
          <w14:textFill>
            <w14:solidFill>
              <w14:schemeClr w14:val="tx1"/>
            </w14:solidFill>
          </w14:textFill>
        </w:rPr>
        <w:t>4</w:t>
      </w:r>
      <w:r>
        <w:rPr>
          <w:rFonts w:eastAsia="仿宋_GB2312"/>
          <w:color w:val="000000" w:themeColor="text1"/>
          <w:kern w:val="0"/>
          <w:sz w:val="32"/>
          <w:szCs w:val="32"/>
          <w:highlight w:val="none"/>
          <w14:textFill>
            <w14:solidFill>
              <w14:schemeClr w14:val="tx1"/>
            </w14:solidFill>
          </w14:textFill>
        </w:rPr>
        <w:t>包装说明</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申请人应详细描述申报产品中注册单元所有产品组成的包装情况，说明包装清单和包装方式，提供包装图示。</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2.</w:t>
      </w:r>
      <w:r>
        <w:rPr>
          <w:rFonts w:hint="eastAsia" w:eastAsia="仿宋_GB2312"/>
          <w:color w:val="000000" w:themeColor="text1"/>
          <w:kern w:val="0"/>
          <w:sz w:val="32"/>
          <w:szCs w:val="32"/>
          <w:highlight w:val="none"/>
          <w:lang w:val="en-US" w:eastAsia="zh-CN"/>
          <w14:textFill>
            <w14:solidFill>
              <w14:schemeClr w14:val="tx1"/>
            </w14:solidFill>
          </w14:textFill>
        </w:rPr>
        <w:t>5</w:t>
      </w:r>
      <w:r>
        <w:rPr>
          <w:rFonts w:eastAsia="仿宋_GB2312"/>
          <w:color w:val="000000" w:themeColor="text1"/>
          <w:kern w:val="0"/>
          <w:sz w:val="32"/>
          <w:szCs w:val="32"/>
          <w:highlight w:val="none"/>
          <w14:textFill>
            <w14:solidFill>
              <w14:schemeClr w14:val="tx1"/>
            </w14:solidFill>
          </w14:textFill>
        </w:rPr>
        <w:t>研发历程</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如适用，应描述申报产品的研发背景和目的，如申报产品的研发历史概述、历次注册申请提交的信息。此外，还应在研发背景中描述产品改进的内容、实现方式、解决的技术问题或临床问题等。</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2.</w:t>
      </w:r>
      <w:r>
        <w:rPr>
          <w:rFonts w:hint="eastAsia" w:eastAsia="仿宋_GB2312"/>
          <w:color w:val="000000" w:themeColor="text1"/>
          <w:kern w:val="0"/>
          <w:sz w:val="32"/>
          <w:szCs w:val="32"/>
          <w:highlight w:val="none"/>
          <w:lang w:val="en-US" w:eastAsia="zh-CN"/>
          <w14:textFill>
            <w14:solidFill>
              <w14:schemeClr w14:val="tx1"/>
            </w14:solidFill>
          </w14:textFill>
        </w:rPr>
        <w:t>6</w:t>
      </w:r>
      <w:r>
        <w:rPr>
          <w:rFonts w:eastAsia="仿宋_GB2312"/>
          <w:color w:val="000000" w:themeColor="text1"/>
          <w:kern w:val="0"/>
          <w:sz w:val="32"/>
          <w:szCs w:val="32"/>
          <w:highlight w:val="none"/>
          <w14:textFill>
            <w14:solidFill>
              <w14:schemeClr w14:val="tx1"/>
            </w14:solidFill>
          </w14:textFill>
        </w:rPr>
        <w:t>与同类和/或前代产品的参考和比较</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对于研发参考的同类产品或前代产品，应说明选择其作为研发参考的原因。同时列表说明申报产品与研发参考产品在工作原理、结构组成、性能指标及适用范围等方面的异同。</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区别于其他同类产品的特征是技术审评的关注点，如设备适用范围、结构组成、性能指标等。</w:t>
      </w:r>
    </w:p>
    <w:p>
      <w:pPr>
        <w:spacing w:line="520" w:lineRule="exact"/>
        <w:ind w:firstLine="640" w:firstLineChars="200"/>
        <w:rPr>
          <w:rFonts w:hint="eastAsia" w:eastAsia="仿宋_GB2312"/>
          <w:color w:val="000000" w:themeColor="text1"/>
          <w:kern w:val="0"/>
          <w:sz w:val="32"/>
          <w:szCs w:val="32"/>
          <w:highlight w:val="none"/>
          <w:lang w:val="en-US" w:eastAsia="zh-CN"/>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3.适用范围和禁忌</w:t>
      </w:r>
      <w:r>
        <w:rPr>
          <w:rFonts w:hint="eastAsia" w:eastAsia="仿宋_GB2312"/>
          <w:color w:val="000000" w:themeColor="text1"/>
          <w:kern w:val="0"/>
          <w:sz w:val="32"/>
          <w:szCs w:val="32"/>
          <w:highlight w:val="none"/>
          <w:lang w:val="en-US" w:eastAsia="zh-CN"/>
          <w14:textFill>
            <w14:solidFill>
              <w14:schemeClr w14:val="tx1"/>
            </w14:solidFill>
          </w14:textFill>
        </w:rPr>
        <w:t>证</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3.1适用范围</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申请人应依据临床评价资料并结合相关临床诊疗规范来明确申报产品的适用范围。</w:t>
      </w:r>
    </w:p>
    <w:p>
      <w:pPr>
        <w:spacing w:line="520" w:lineRule="exact"/>
        <w:ind w:firstLine="640" w:firstLineChars="200"/>
        <w:rPr>
          <w:rFonts w:eastAsia="仿宋_GB2312"/>
          <w:strike/>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中医脉诊设备的预期用途应体现其临床应用范围。应与医疗器械注册申请表、综述资料、临床评价资料、产品风险分析资料、产品说明书等方面阐述保持一致</w:t>
      </w:r>
      <w:r>
        <w:rPr>
          <w:rFonts w:hint="eastAsia" w:eastAsia="仿宋_GB2312"/>
          <w:color w:val="000000" w:themeColor="text1"/>
          <w:kern w:val="0"/>
          <w:sz w:val="32"/>
          <w:szCs w:val="32"/>
          <w:highlight w:val="none"/>
          <w:lang w:eastAsia="zh-CN"/>
          <w14:textFill>
            <w14:solidFill>
              <w14:schemeClr w14:val="tx1"/>
            </w14:solidFill>
          </w14:textFill>
        </w:rPr>
        <w:t>。</w:t>
      </w:r>
      <w:r>
        <w:rPr>
          <w:rFonts w:eastAsia="仿宋_GB2312"/>
          <w:color w:val="000000" w:themeColor="text1"/>
          <w:kern w:val="0"/>
          <w:sz w:val="32"/>
          <w:szCs w:val="32"/>
          <w:highlight w:val="none"/>
          <w14:textFill>
            <w14:solidFill>
              <w14:schemeClr w14:val="tx1"/>
            </w14:solidFill>
          </w14:textFill>
        </w:rPr>
        <w:t>例如：</w:t>
      </w:r>
      <w:r>
        <w:rPr>
          <w:rFonts w:hint="eastAsia" w:eastAsia="仿宋_GB2312"/>
          <w:color w:val="000000" w:themeColor="text1"/>
          <w:kern w:val="0"/>
          <w:sz w:val="32"/>
          <w:szCs w:val="32"/>
          <w:highlight w:val="none"/>
          <w:lang w:val="en-US" w:eastAsia="zh-CN"/>
          <w14:textFill>
            <w14:solidFill>
              <w14:schemeClr w14:val="tx1"/>
            </w14:solidFill>
          </w14:textFill>
        </w:rPr>
        <w:t>用于中医脉诊。</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3.2预期使用环境</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申请人应详细描述申报产品的使用环境和产品保存环境要求。包括：产品的</w:t>
      </w:r>
      <w:r>
        <w:rPr>
          <w:rFonts w:hint="eastAsia" w:eastAsia="仿宋_GB2312"/>
          <w:color w:val="000000" w:themeColor="text1"/>
          <w:kern w:val="0"/>
          <w:sz w:val="32"/>
          <w:szCs w:val="32"/>
          <w:highlight w:val="none"/>
          <w:lang w:val="en-US" w:eastAsia="zh-CN"/>
          <w14:textFill>
            <w14:solidFill>
              <w14:schemeClr w14:val="tx1"/>
            </w14:solidFill>
          </w14:textFill>
        </w:rPr>
        <w:t>贮</w:t>
      </w:r>
      <w:r>
        <w:rPr>
          <w:rFonts w:eastAsia="仿宋_GB2312"/>
          <w:color w:val="000000" w:themeColor="text1"/>
          <w:kern w:val="0"/>
          <w:sz w:val="32"/>
          <w:szCs w:val="32"/>
          <w:highlight w:val="none"/>
          <w14:textFill>
            <w14:solidFill>
              <w14:schemeClr w14:val="tx1"/>
            </w14:solidFill>
          </w14:textFill>
        </w:rPr>
        <w:t>存、运输和使用环境的温度、湿度等要求。</w:t>
      </w:r>
    </w:p>
    <w:p>
      <w:pPr>
        <w:spacing w:line="520" w:lineRule="exact"/>
        <w:ind w:firstLine="640" w:firstLineChars="200"/>
        <w:rPr>
          <w:rFonts w:hint="eastAsia" w:eastAsia="仿宋_GB2312"/>
          <w:color w:val="000000" w:themeColor="text1"/>
          <w:kern w:val="0"/>
          <w:sz w:val="32"/>
          <w:szCs w:val="32"/>
          <w:highlight w:val="none"/>
          <w:lang w:eastAsia="zh-CN"/>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3.3适用人群与禁忌</w:t>
      </w:r>
      <w:r>
        <w:rPr>
          <w:rFonts w:hint="eastAsia" w:eastAsia="仿宋_GB2312"/>
          <w:color w:val="000000" w:themeColor="text1"/>
          <w:kern w:val="0"/>
          <w:sz w:val="32"/>
          <w:szCs w:val="32"/>
          <w:highlight w:val="none"/>
          <w:lang w:val="en-US" w:eastAsia="zh-CN"/>
          <w14:textFill>
            <w14:solidFill>
              <w14:schemeClr w14:val="tx1"/>
            </w14:solidFill>
          </w14:textFill>
        </w:rPr>
        <w:t>证</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申请人应说明申报产品适用人群的标准。中医脉诊设备一般不适用于以下人群：</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（1）腕关节损伤、腕部皮肤过敏或破损者；</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（2）桡动脉搏动消失（</w:t>
      </w:r>
      <w:bookmarkStart w:id="1" w:name="OLE_LINK2"/>
      <w:r>
        <w:rPr>
          <w:rFonts w:eastAsia="仿宋_GB2312"/>
          <w:color w:val="000000" w:themeColor="text1"/>
          <w:kern w:val="0"/>
          <w:sz w:val="32"/>
          <w:szCs w:val="32"/>
          <w:highlight w:val="none"/>
          <w14:textFill>
            <w14:solidFill>
              <w14:schemeClr w14:val="tx1"/>
            </w14:solidFill>
          </w14:textFill>
        </w:rPr>
        <w:t>无脉症</w:t>
      </w:r>
      <w:bookmarkEnd w:id="1"/>
      <w:r>
        <w:rPr>
          <w:rFonts w:eastAsia="仿宋_GB2312"/>
          <w:color w:val="000000" w:themeColor="text1"/>
          <w:kern w:val="0"/>
          <w:sz w:val="32"/>
          <w:szCs w:val="32"/>
          <w:highlight w:val="none"/>
          <w14:textFill>
            <w14:solidFill>
              <w14:schemeClr w14:val="tx1"/>
            </w14:solidFill>
          </w14:textFill>
        </w:rPr>
        <w:t>）患者，桡动脉解剖位置异常（斜飞脉或反关脉）患者；</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 xml:space="preserve">（3）肢体震颤，如帕金森患者； </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4.申报产品上市历史</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如适用，申请人需提供以下相关资料：</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4.1上市情况。申报产品在各国家或地区的上市批准时间、销售情况。</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4.2不良事件和召回。</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4.3销售、不良事件及召回率。</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5.其他需说明的内容</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若适用，申请人可以提供申报产品需要重点关注的其他内容和支持性资料。</w:t>
      </w:r>
    </w:p>
    <w:p>
      <w:pPr>
        <w:spacing w:line="520" w:lineRule="exact"/>
        <w:ind w:firstLine="640" w:firstLineChars="200"/>
        <w:jc w:val="left"/>
        <w:outlineLvl w:val="1"/>
        <w:rPr>
          <w:rFonts w:ascii="Times New Roman" w:hAnsi="Times New Roman" w:eastAsia="楷体_GB2312"/>
          <w:color w:val="000000"/>
          <w:sz w:val="32"/>
          <w:szCs w:val="32"/>
        </w:rPr>
      </w:pPr>
      <w:r>
        <w:rPr>
          <w:rFonts w:ascii="Times New Roman" w:hAnsi="Times New Roman" w:eastAsia="楷体_GB2312"/>
          <w:color w:val="000000"/>
          <w:sz w:val="32"/>
          <w:szCs w:val="32"/>
        </w:rPr>
        <w:t>（三）非临床资料</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1. 产品风险管理资料</w:t>
      </w:r>
    </w:p>
    <w:p>
      <w:pPr>
        <w:spacing w:line="520" w:lineRule="exact"/>
        <w:ind w:firstLine="640" w:firstLineChars="200"/>
        <w:rPr>
          <w:rFonts w:hint="eastAsia" w:eastAsia="仿宋_GB2312"/>
          <w:color w:val="000000" w:themeColor="text1"/>
          <w:kern w:val="0"/>
          <w:sz w:val="32"/>
          <w:szCs w:val="32"/>
          <w:highlight w:val="none"/>
          <w:lang w:eastAsia="zh-CN"/>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应符合</w:t>
      </w:r>
      <w:r>
        <w:rPr>
          <w:rFonts w:hint="default" w:eastAsia="仿宋_GB2312"/>
          <w:color w:val="000000" w:themeColor="text1"/>
          <w:kern w:val="0"/>
          <w:sz w:val="32"/>
          <w:szCs w:val="32"/>
          <w:highlight w:val="none"/>
          <w:lang w:val="en-US" w:eastAsia="zh-CN"/>
          <w14:textFill>
            <w14:solidFill>
              <w14:schemeClr w14:val="tx1"/>
            </w14:solidFill>
          </w14:textFill>
        </w:rPr>
        <w:t>GB/T</w:t>
      </w:r>
      <w:r>
        <w:rPr>
          <w:rFonts w:hint="eastAsia" w:eastAsia="仿宋_GB2312"/>
          <w:color w:val="000000" w:themeColor="text1"/>
          <w:kern w:val="0"/>
          <w:sz w:val="32"/>
          <w:szCs w:val="32"/>
          <w:highlight w:val="none"/>
          <w:lang w:val="en-US" w:eastAsia="zh-CN"/>
          <w14:textFill>
            <w14:solidFill>
              <w14:schemeClr w14:val="tx1"/>
            </w14:solidFill>
          </w14:textFill>
        </w:rPr>
        <w:t xml:space="preserve"> </w:t>
      </w:r>
      <w:r>
        <w:rPr>
          <w:rFonts w:hint="default" w:eastAsia="仿宋_GB2312"/>
          <w:color w:val="000000" w:themeColor="text1"/>
          <w:kern w:val="0"/>
          <w:sz w:val="32"/>
          <w:szCs w:val="32"/>
          <w:highlight w:val="none"/>
          <w:lang w:val="en-US" w:eastAsia="zh-CN"/>
          <w14:textFill>
            <w14:solidFill>
              <w14:schemeClr w14:val="tx1"/>
            </w14:solidFill>
          </w14:textFill>
        </w:rPr>
        <w:t>42062</w:t>
      </w:r>
      <w:r>
        <w:rPr>
          <w:rFonts w:eastAsia="仿宋_GB2312"/>
          <w:color w:val="000000" w:themeColor="text1"/>
          <w:kern w:val="0"/>
          <w:sz w:val="32"/>
          <w:szCs w:val="32"/>
          <w:highlight w:val="none"/>
          <w14:textFill>
            <w14:solidFill>
              <w14:schemeClr w14:val="tx1"/>
            </w14:solidFill>
          </w14:textFill>
        </w:rPr>
        <w:t>《医疗器械风险管理对医疗器械的应用》的有关要求</w:t>
      </w:r>
      <w:r>
        <w:rPr>
          <w:rFonts w:hint="eastAsia" w:eastAsia="仿宋_GB2312"/>
          <w:color w:val="000000" w:themeColor="text1"/>
          <w:kern w:val="0"/>
          <w:sz w:val="32"/>
          <w:szCs w:val="32"/>
          <w:highlight w:val="none"/>
          <w:lang w:eastAsia="zh-CN"/>
          <w14:textFill>
            <w14:solidFill>
              <w14:schemeClr w14:val="tx1"/>
            </w14:solidFill>
          </w14:textFill>
        </w:rPr>
        <w:t>。</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2. 医疗器械安全和性能基本原则清单</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申请人应提供《医疗器械安全和性能基本原则清单》，并说明申请产品为了符合适用的各项要求所采用的方法，并提供相关文件。</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3. 产品技术要求及检验报告</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3.1申报产品适用标准情况</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注册申请人需列表说明申报产品执行和参考的国家标准和行业标准。</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中医脉诊设备</w:t>
      </w:r>
      <w:r>
        <w:rPr>
          <w:rFonts w:hint="eastAsia" w:eastAsia="仿宋_GB2312"/>
          <w:color w:val="000000" w:themeColor="text1"/>
          <w:kern w:val="0"/>
          <w:sz w:val="32"/>
          <w:szCs w:val="32"/>
          <w:highlight w:val="none"/>
          <w14:textFill>
            <w14:solidFill>
              <w14:schemeClr w14:val="tx1"/>
            </w14:solidFill>
          </w14:textFill>
        </w:rPr>
        <w:t>适用</w:t>
      </w:r>
      <w:r>
        <w:rPr>
          <w:rFonts w:eastAsia="仿宋_GB2312"/>
          <w:color w:val="000000" w:themeColor="text1"/>
          <w:kern w:val="0"/>
          <w:sz w:val="32"/>
          <w:szCs w:val="32"/>
          <w:highlight w:val="none"/>
          <w14:textFill>
            <w14:solidFill>
              <w14:schemeClr w14:val="tx1"/>
            </w14:solidFill>
          </w14:textFill>
        </w:rPr>
        <w:t>的标准为：YY/T 1489《中医脉图采集设备》</w:t>
      </w:r>
      <w:r>
        <w:rPr>
          <w:rFonts w:hint="eastAsia" w:eastAsia="仿宋_GB2312"/>
          <w:color w:val="000000" w:themeColor="text1"/>
          <w:kern w:val="0"/>
          <w:sz w:val="32"/>
          <w:szCs w:val="32"/>
          <w:highlight w:val="none"/>
          <w:lang w:eastAsia="zh-CN"/>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电气安全应符合GB 9706.1的要求，电磁兼容应符合YY 9706.102的要求</w:t>
      </w:r>
      <w:r>
        <w:rPr>
          <w:rFonts w:eastAsia="仿宋_GB2312"/>
          <w:color w:val="000000" w:themeColor="text1"/>
          <w:kern w:val="0"/>
          <w:sz w:val="32"/>
          <w:szCs w:val="32"/>
          <w:highlight w:val="none"/>
          <w14:textFill>
            <w14:solidFill>
              <w14:schemeClr w14:val="tx1"/>
            </w14:solidFill>
          </w14:textFill>
        </w:rPr>
        <w:t>。</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3.2产品技术要求</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注册申请人应按照《医疗器械产品技术要求编写指导原则》编写产品技术要求，结合申报产品的特点设置条款。</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hint="eastAsia" w:eastAsia="仿宋_GB2312"/>
          <w:color w:val="000000" w:themeColor="text1"/>
          <w:kern w:val="0"/>
          <w:sz w:val="32"/>
          <w:szCs w:val="32"/>
          <w:highlight w:val="none"/>
          <w14:textFill>
            <w14:solidFill>
              <w14:schemeClr w14:val="tx1"/>
            </w14:solidFill>
          </w14:textFill>
        </w:rPr>
        <w:t>产品技术要求明确产品规格型号及划分说明。要注明软件发布版本、软件版本命名规则，其中软件版本命名规则需与质量管理体系保持一致。</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产品技术指标可参考YY/T 1489《中医脉图采集设备 》。</w:t>
      </w:r>
    </w:p>
    <w:p>
      <w:pPr>
        <w:spacing w:line="520" w:lineRule="exact"/>
        <w:ind w:firstLine="640" w:firstLineChars="200"/>
        <w:rPr>
          <w:rFonts w:hint="default" w:eastAsia="仿宋_GB2312"/>
          <w:color w:val="000000" w:themeColor="text1"/>
          <w:kern w:val="0"/>
          <w:sz w:val="32"/>
          <w:szCs w:val="32"/>
          <w:highlight w:val="none"/>
          <w:lang w:val="en-US" w:eastAsia="zh-CN"/>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（1）</w:t>
      </w:r>
      <w:r>
        <w:rPr>
          <w:rFonts w:hint="eastAsia" w:eastAsia="仿宋_GB2312"/>
          <w:color w:val="000000" w:themeColor="text1"/>
          <w:kern w:val="0"/>
          <w:sz w:val="32"/>
          <w:szCs w:val="32"/>
          <w:highlight w:val="none"/>
          <w:lang w:val="en-US" w:eastAsia="zh-CN"/>
          <w14:textFill>
            <w14:solidFill>
              <w14:schemeClr w14:val="tx1"/>
            </w14:solidFill>
          </w14:textFill>
        </w:rPr>
        <w:t>工作条件。</w:t>
      </w:r>
    </w:p>
    <w:p>
      <w:pPr>
        <w:spacing w:line="520" w:lineRule="exact"/>
        <w:ind w:firstLine="640" w:firstLineChars="200"/>
        <w:rPr>
          <w:rFonts w:hint="eastAsia" w:eastAsia="仿宋_GB2312"/>
          <w:color w:val="000000" w:themeColor="text1"/>
          <w:kern w:val="0"/>
          <w:sz w:val="32"/>
          <w:szCs w:val="32"/>
          <w:highlight w:val="none"/>
          <w:lang w:eastAsia="zh-CN"/>
          <w14:textFill>
            <w14:solidFill>
              <w14:schemeClr w14:val="tx1"/>
            </w14:solidFill>
          </w14:textFill>
        </w:rPr>
      </w:pPr>
      <w:r>
        <w:rPr>
          <w:rFonts w:hint="eastAsia" w:eastAsia="仿宋_GB2312"/>
          <w:color w:val="000000" w:themeColor="text1"/>
          <w:kern w:val="0"/>
          <w:sz w:val="32"/>
          <w:szCs w:val="32"/>
          <w:highlight w:val="none"/>
          <w:lang w:eastAsia="zh-CN"/>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2</w:t>
      </w:r>
      <w:r>
        <w:rPr>
          <w:rFonts w:hint="eastAsia" w:eastAsia="仿宋_GB2312"/>
          <w:color w:val="000000" w:themeColor="text1"/>
          <w:kern w:val="0"/>
          <w:sz w:val="32"/>
          <w:szCs w:val="32"/>
          <w:highlight w:val="none"/>
          <w:lang w:eastAsia="zh-CN"/>
          <w14:textFill>
            <w14:solidFill>
              <w14:schemeClr w14:val="tx1"/>
            </w14:solidFill>
          </w14:textFill>
        </w:rPr>
        <w:t>）</w:t>
      </w:r>
      <w:r>
        <w:rPr>
          <w:rFonts w:eastAsia="仿宋_GB2312"/>
          <w:color w:val="000000" w:themeColor="text1"/>
          <w:kern w:val="0"/>
          <w:sz w:val="32"/>
          <w:szCs w:val="32"/>
          <w:highlight w:val="none"/>
          <w14:textFill>
            <w14:solidFill>
              <w14:schemeClr w14:val="tx1"/>
            </w14:solidFill>
          </w14:textFill>
        </w:rPr>
        <w:t>外加力学量施加装置的安全限值</w:t>
      </w:r>
      <w:r>
        <w:rPr>
          <w:rFonts w:hint="eastAsia" w:eastAsia="仿宋_GB2312"/>
          <w:color w:val="000000" w:themeColor="text1"/>
          <w:kern w:val="0"/>
          <w:sz w:val="32"/>
          <w:szCs w:val="32"/>
          <w:highlight w:val="none"/>
          <w:lang w:eastAsia="zh-CN"/>
          <w14:textFill>
            <w14:solidFill>
              <w14:schemeClr w14:val="tx1"/>
            </w14:solidFill>
          </w14:textFill>
        </w:rPr>
        <w:t>。</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3</w:t>
      </w:r>
      <w:r>
        <w:rPr>
          <w:rFonts w:eastAsia="仿宋_GB2312"/>
          <w:color w:val="000000" w:themeColor="text1"/>
          <w:kern w:val="0"/>
          <w:sz w:val="32"/>
          <w:szCs w:val="32"/>
          <w:highlight w:val="none"/>
          <w14:textFill>
            <w14:solidFill>
              <w14:schemeClr w14:val="tx1"/>
            </w14:solidFill>
          </w14:textFill>
        </w:rPr>
        <w:t>）外加力学量的准确性</w:t>
      </w:r>
      <w:r>
        <w:rPr>
          <w:rFonts w:hint="eastAsia" w:eastAsia="仿宋_GB2312"/>
          <w:color w:val="000000" w:themeColor="text1"/>
          <w:kern w:val="0"/>
          <w:sz w:val="32"/>
          <w:szCs w:val="32"/>
          <w:highlight w:val="none"/>
          <w:lang w:eastAsia="zh-CN"/>
          <w14:textFill>
            <w14:solidFill>
              <w14:schemeClr w14:val="tx1"/>
            </w14:solidFill>
          </w14:textFill>
        </w:rPr>
        <w:t>。</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4</w:t>
      </w:r>
      <w:r>
        <w:rPr>
          <w:rFonts w:eastAsia="仿宋_GB2312"/>
          <w:color w:val="000000" w:themeColor="text1"/>
          <w:kern w:val="0"/>
          <w:sz w:val="32"/>
          <w:szCs w:val="32"/>
          <w:highlight w:val="none"/>
          <w14:textFill>
            <w14:solidFill>
              <w14:schemeClr w14:val="tx1"/>
            </w14:solidFill>
          </w14:textFill>
        </w:rPr>
        <w:t>）脉压准确性</w:t>
      </w:r>
      <w:r>
        <w:rPr>
          <w:rFonts w:hint="eastAsia" w:eastAsia="仿宋_GB2312"/>
          <w:color w:val="000000" w:themeColor="text1"/>
          <w:kern w:val="0"/>
          <w:sz w:val="32"/>
          <w:szCs w:val="32"/>
          <w:highlight w:val="none"/>
          <w:lang w:eastAsia="zh-CN"/>
          <w14:textFill>
            <w14:solidFill>
              <w14:schemeClr w14:val="tx1"/>
            </w14:solidFill>
          </w14:textFill>
        </w:rPr>
        <w:t>。</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5</w:t>
      </w:r>
      <w:r>
        <w:rPr>
          <w:rFonts w:eastAsia="仿宋_GB2312"/>
          <w:color w:val="000000" w:themeColor="text1"/>
          <w:kern w:val="0"/>
          <w:sz w:val="32"/>
          <w:szCs w:val="32"/>
          <w:highlight w:val="none"/>
          <w14:textFill>
            <w14:solidFill>
              <w14:schemeClr w14:val="tx1"/>
            </w14:solidFill>
          </w14:textFill>
        </w:rPr>
        <w:t>）脉率准确性</w:t>
      </w:r>
      <w:r>
        <w:rPr>
          <w:rFonts w:hint="eastAsia" w:eastAsia="仿宋_GB2312"/>
          <w:color w:val="000000" w:themeColor="text1"/>
          <w:kern w:val="0"/>
          <w:sz w:val="32"/>
          <w:szCs w:val="32"/>
          <w:highlight w:val="none"/>
          <w:lang w:eastAsia="zh-CN"/>
          <w14:textFill>
            <w14:solidFill>
              <w14:schemeClr w14:val="tx1"/>
            </w14:solidFill>
          </w14:textFill>
        </w:rPr>
        <w:t>。</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6</w:t>
      </w:r>
      <w:r>
        <w:rPr>
          <w:rFonts w:eastAsia="仿宋_GB2312"/>
          <w:color w:val="000000" w:themeColor="text1"/>
          <w:kern w:val="0"/>
          <w:sz w:val="32"/>
          <w:szCs w:val="32"/>
          <w:highlight w:val="none"/>
          <w14:textFill>
            <w14:solidFill>
              <w14:schemeClr w14:val="tx1"/>
            </w14:solidFill>
          </w14:textFill>
        </w:rPr>
        <w:t>）泄压功能</w:t>
      </w:r>
      <w:r>
        <w:rPr>
          <w:rFonts w:hint="eastAsia" w:eastAsia="仿宋_GB2312"/>
          <w:color w:val="000000" w:themeColor="text1"/>
          <w:kern w:val="0"/>
          <w:sz w:val="32"/>
          <w:szCs w:val="32"/>
          <w:highlight w:val="none"/>
          <w:lang w:eastAsia="zh-CN"/>
          <w14:textFill>
            <w14:solidFill>
              <w14:schemeClr w14:val="tx1"/>
            </w14:solidFill>
          </w14:textFill>
        </w:rPr>
        <w:t>。</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7</w:t>
      </w:r>
      <w:r>
        <w:rPr>
          <w:rFonts w:eastAsia="仿宋_GB2312"/>
          <w:color w:val="000000" w:themeColor="text1"/>
          <w:kern w:val="0"/>
          <w:sz w:val="32"/>
          <w:szCs w:val="32"/>
          <w:highlight w:val="none"/>
          <w14:textFill>
            <w14:solidFill>
              <w14:schemeClr w14:val="tx1"/>
            </w14:solidFill>
          </w14:textFill>
        </w:rPr>
        <w:t>）传感器有效几何尺寸</w:t>
      </w:r>
      <w:r>
        <w:rPr>
          <w:rFonts w:hint="eastAsia" w:eastAsia="仿宋_GB2312"/>
          <w:color w:val="000000" w:themeColor="text1"/>
          <w:kern w:val="0"/>
          <w:sz w:val="32"/>
          <w:szCs w:val="32"/>
          <w:highlight w:val="none"/>
          <w:lang w:eastAsia="zh-CN"/>
          <w14:textFill>
            <w14:solidFill>
              <w14:schemeClr w14:val="tx1"/>
            </w14:solidFill>
          </w14:textFill>
        </w:rPr>
        <w:t>。</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8</w:t>
      </w:r>
      <w:r>
        <w:rPr>
          <w:rFonts w:eastAsia="仿宋_GB2312"/>
          <w:color w:val="000000" w:themeColor="text1"/>
          <w:kern w:val="0"/>
          <w:sz w:val="32"/>
          <w:szCs w:val="32"/>
          <w:highlight w:val="none"/>
          <w14:textFill>
            <w14:solidFill>
              <w14:schemeClr w14:val="tx1"/>
            </w14:solidFill>
          </w14:textFill>
        </w:rPr>
        <w:t>）动态放大器的时间常数</w:t>
      </w:r>
      <w:r>
        <w:rPr>
          <w:rFonts w:hint="eastAsia" w:eastAsia="仿宋_GB2312"/>
          <w:color w:val="000000" w:themeColor="text1"/>
          <w:kern w:val="0"/>
          <w:sz w:val="32"/>
          <w:szCs w:val="32"/>
          <w:highlight w:val="none"/>
          <w:lang w:eastAsia="zh-CN"/>
          <w14:textFill>
            <w14:solidFill>
              <w14:schemeClr w14:val="tx1"/>
            </w14:solidFill>
          </w14:textFill>
        </w:rPr>
        <w:t>。</w:t>
      </w:r>
    </w:p>
    <w:p>
      <w:pPr>
        <w:spacing w:line="520" w:lineRule="exact"/>
        <w:ind w:firstLine="640" w:firstLineChars="200"/>
        <w:rPr>
          <w:rFonts w:eastAsia="仿宋_GB2312"/>
          <w:strike/>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9</w:t>
      </w:r>
      <w:r>
        <w:rPr>
          <w:rFonts w:eastAsia="仿宋_GB2312"/>
          <w:color w:val="000000" w:themeColor="text1"/>
          <w:kern w:val="0"/>
          <w:sz w:val="32"/>
          <w:szCs w:val="32"/>
          <w:highlight w:val="none"/>
          <w14:textFill>
            <w14:solidFill>
              <w14:schemeClr w14:val="tx1"/>
            </w14:solidFill>
          </w14:textFill>
        </w:rPr>
        <w:t>）工作噪声</w:t>
      </w:r>
      <w:r>
        <w:rPr>
          <w:rFonts w:hint="eastAsia" w:eastAsia="仿宋_GB2312"/>
          <w:color w:val="000000" w:themeColor="text1"/>
          <w:kern w:val="0"/>
          <w:sz w:val="32"/>
          <w:szCs w:val="32"/>
          <w:highlight w:val="none"/>
          <w:lang w:eastAsia="zh-CN"/>
          <w14:textFill>
            <w14:solidFill>
              <w14:schemeClr w14:val="tx1"/>
            </w14:solidFill>
          </w14:textFill>
        </w:rPr>
        <w:t>。</w:t>
      </w:r>
    </w:p>
    <w:p>
      <w:pPr>
        <w:spacing w:line="520" w:lineRule="exact"/>
        <w:ind w:firstLine="640" w:firstLineChars="200"/>
        <w:rPr>
          <w:rFonts w:hint="eastAsia" w:eastAsia="仿宋_GB2312"/>
          <w:color w:val="000000" w:themeColor="text1"/>
          <w:kern w:val="0"/>
          <w:sz w:val="32"/>
          <w:szCs w:val="32"/>
          <w:highlight w:val="none"/>
          <w:lang w:eastAsia="zh-CN"/>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（1</w:t>
      </w:r>
      <w:r>
        <w:rPr>
          <w:rFonts w:hint="eastAsia" w:eastAsia="仿宋_GB2312"/>
          <w:color w:val="000000" w:themeColor="text1"/>
          <w:kern w:val="0"/>
          <w:sz w:val="32"/>
          <w:szCs w:val="32"/>
          <w:highlight w:val="none"/>
          <w:lang w:val="en-US" w:eastAsia="zh-CN"/>
          <w14:textFill>
            <w14:solidFill>
              <w14:schemeClr w14:val="tx1"/>
            </w14:solidFill>
          </w14:textFill>
        </w:rPr>
        <w:t>0</w:t>
      </w:r>
      <w:r>
        <w:rPr>
          <w:rFonts w:eastAsia="仿宋_GB2312"/>
          <w:color w:val="000000" w:themeColor="text1"/>
          <w:kern w:val="0"/>
          <w:sz w:val="32"/>
          <w:szCs w:val="32"/>
          <w:highlight w:val="none"/>
          <w14:textFill>
            <w14:solidFill>
              <w14:schemeClr w14:val="tx1"/>
            </w14:solidFill>
          </w14:textFill>
        </w:rPr>
        <w:t>）外观</w:t>
      </w:r>
      <w:r>
        <w:rPr>
          <w:rFonts w:hint="eastAsia" w:eastAsia="仿宋_GB2312"/>
          <w:color w:val="000000" w:themeColor="text1"/>
          <w:kern w:val="0"/>
          <w:sz w:val="32"/>
          <w:szCs w:val="32"/>
          <w:highlight w:val="none"/>
          <w:lang w:eastAsia="zh-CN"/>
          <w14:textFill>
            <w14:solidFill>
              <w14:schemeClr w14:val="tx1"/>
            </w14:solidFill>
          </w14:textFill>
        </w:rPr>
        <w:t>。</w:t>
      </w:r>
    </w:p>
    <w:p>
      <w:pPr>
        <w:spacing w:line="520" w:lineRule="exact"/>
        <w:ind w:firstLine="640" w:firstLineChars="200"/>
        <w:rPr>
          <w:rFonts w:hint="eastAsia" w:eastAsia="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除</w:t>
      </w:r>
      <w:r>
        <w:rPr>
          <w:rFonts w:hint="eastAsia" w:eastAsia="仿宋_GB2312"/>
          <w:color w:val="000000" w:themeColor="text1"/>
          <w:sz w:val="32"/>
          <w:szCs w:val="32"/>
          <w:highlight w:val="none"/>
          <w:lang w:val="en-US" w:eastAsia="zh-CN"/>
          <w14:textFill>
            <w14:solidFill>
              <w14:schemeClr w14:val="tx1"/>
            </w14:solidFill>
          </w14:textFill>
        </w:rPr>
        <w:t>参考</w:t>
      </w:r>
      <w:r>
        <w:rPr>
          <w:rFonts w:hint="eastAsia" w:ascii="Times New Roman" w:hAnsi="Times New Roman" w:eastAsia="仿宋_GB2312"/>
          <w:color w:val="000000" w:themeColor="text1"/>
          <w:sz w:val="32"/>
          <w:szCs w:val="32"/>
          <w:highlight w:val="none"/>
          <w14:textFill>
            <w14:solidFill>
              <w14:schemeClr w14:val="tx1"/>
            </w14:solidFill>
          </w14:textFill>
        </w:rPr>
        <w:t xml:space="preserve">行业标准YY/T </w:t>
      </w:r>
      <w:r>
        <w:rPr>
          <w:rFonts w:hint="eastAsia" w:eastAsia="仿宋_GB2312"/>
          <w:color w:val="000000" w:themeColor="text1"/>
          <w:sz w:val="32"/>
          <w:szCs w:val="32"/>
          <w:highlight w:val="none"/>
          <w:lang w:val="en-US" w:eastAsia="zh-CN"/>
          <w14:textFill>
            <w14:solidFill>
              <w14:schemeClr w14:val="tx1"/>
            </w14:solidFill>
          </w14:textFill>
        </w:rPr>
        <w:t>1489</w:t>
      </w:r>
      <w:r>
        <w:rPr>
          <w:rFonts w:hint="eastAsia" w:ascii="Times New Roman" w:hAnsi="Times New Roman" w:eastAsia="仿宋_GB2312"/>
          <w:color w:val="000000" w:themeColor="text1"/>
          <w:sz w:val="32"/>
          <w:szCs w:val="32"/>
          <w:highlight w:val="none"/>
          <w14:textFill>
            <w14:solidFill>
              <w14:schemeClr w14:val="tx1"/>
            </w14:solidFill>
          </w14:textFill>
        </w:rPr>
        <w:t>的要求外</w:t>
      </w:r>
      <w:r>
        <w:rPr>
          <w:rFonts w:hint="eastAsia" w:eastAsia="仿宋_GB2312"/>
          <w:color w:val="000000" w:themeColor="text1"/>
          <w:sz w:val="32"/>
          <w:szCs w:val="32"/>
          <w:highlight w:val="none"/>
          <w:lang w:eastAsia="zh-CN"/>
          <w14:textFill>
            <w14:solidFill>
              <w14:schemeClr w14:val="tx1"/>
            </w14:solidFill>
          </w14:textFill>
        </w:rPr>
        <w:t>，</w:t>
      </w:r>
      <w:r>
        <w:rPr>
          <w:rFonts w:ascii="Times New Roman" w:hAnsi="Times New Roman" w:eastAsia="仿宋_GB2312"/>
          <w:color w:val="000000" w:themeColor="text1"/>
          <w:sz w:val="32"/>
          <w:szCs w:val="32"/>
          <w:highlight w:val="none"/>
          <w14:textFill>
            <w14:solidFill>
              <w14:schemeClr w14:val="tx1"/>
            </w14:solidFill>
          </w14:textFill>
        </w:rPr>
        <w:t>软件功能及网络安全</w:t>
      </w:r>
      <w:r>
        <w:rPr>
          <w:rFonts w:hint="eastAsia" w:eastAsia="仿宋_GB2312"/>
          <w:color w:val="000000" w:themeColor="text1"/>
          <w:sz w:val="32"/>
          <w:szCs w:val="32"/>
          <w:highlight w:val="none"/>
          <w:lang w:val="en-US" w:eastAsia="zh-CN"/>
          <w14:textFill>
            <w14:solidFill>
              <w14:schemeClr w14:val="tx1"/>
            </w14:solidFill>
          </w14:textFill>
        </w:rPr>
        <w:t>应</w:t>
      </w:r>
      <w:r>
        <w:rPr>
          <w:rFonts w:ascii="Times New Roman" w:hAnsi="Times New Roman" w:eastAsia="仿宋_GB2312"/>
          <w:color w:val="000000" w:themeColor="text1"/>
          <w:sz w:val="32"/>
          <w:szCs w:val="32"/>
          <w:highlight w:val="none"/>
          <w14:textFill>
            <w14:solidFill>
              <w14:schemeClr w14:val="tx1"/>
            </w14:solidFill>
          </w14:textFill>
        </w:rPr>
        <w:t>根据产品的实际情况编写</w:t>
      </w:r>
      <w:r>
        <w:rPr>
          <w:rFonts w:hint="eastAsia" w:ascii="Times New Roman" w:hAnsi="Times New Roman" w:eastAsia="仿宋_GB2312"/>
          <w:color w:val="000000" w:themeColor="text1"/>
          <w:sz w:val="32"/>
          <w:szCs w:val="32"/>
          <w:highlight w:val="none"/>
          <w14:textFill>
            <w14:solidFill>
              <w14:schemeClr w14:val="tx1"/>
            </w14:solidFill>
          </w14:textFill>
        </w:rPr>
        <w:t>。</w:t>
      </w:r>
      <w:r>
        <w:rPr>
          <w:rFonts w:ascii="Times New Roman" w:hAnsi="Times New Roman" w:eastAsia="仿宋_GB2312"/>
          <w:color w:val="000000" w:themeColor="text1"/>
          <w:sz w:val="32"/>
          <w:szCs w:val="32"/>
          <w:highlight w:val="none"/>
          <w14:textFill>
            <w14:solidFill>
              <w14:schemeClr w14:val="tx1"/>
            </w14:solidFill>
          </w14:textFill>
        </w:rPr>
        <w:t>电气安全应符合GB 9706.1的要求；电磁兼容应符合YY9706.102的要求</w:t>
      </w:r>
      <w:r>
        <w:rPr>
          <w:rFonts w:hint="eastAsia" w:eastAsia="仿宋_GB2312"/>
          <w:color w:val="000000" w:themeColor="text1"/>
          <w:sz w:val="32"/>
          <w:szCs w:val="32"/>
          <w:highlight w:val="none"/>
          <w:lang w:eastAsia="zh-CN"/>
          <w14:textFill>
            <w14:solidFill>
              <w14:schemeClr w14:val="tx1"/>
            </w14:solidFill>
          </w14:textFill>
        </w:rPr>
        <w:t>。</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3.3检验报告</w:t>
      </w:r>
    </w:p>
    <w:p>
      <w:pPr>
        <w:spacing w:line="520" w:lineRule="exact"/>
        <w:ind w:firstLine="640" w:firstLineChars="200"/>
        <w:jc w:val="left"/>
        <w:outlineLvl w:val="1"/>
        <w:rPr>
          <w:rFonts w:ascii="Times New Roman" w:hAnsi="Times New Roman"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注册申请人应提供产品检验报告，产品检验报告应符合国务院药品监督管理部门的要求，可以是医疗器械注册申请人的自检报告，也可以是委托具有医疗器械检验资质的医疗器械检验机构出具的检验报告。</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检</w:t>
      </w:r>
      <w:r>
        <w:rPr>
          <w:rFonts w:hint="eastAsia" w:ascii="Times New Roman" w:hAnsi="Times New Roman" w:eastAsia="仿宋_GB2312"/>
          <w:color w:val="000000" w:themeColor="text1"/>
          <w:sz w:val="32"/>
          <w:szCs w:val="32"/>
          <w:highlight w:val="none"/>
          <w14:textFill>
            <w14:solidFill>
              <w14:schemeClr w14:val="tx1"/>
            </w14:solidFill>
          </w14:textFill>
        </w:rPr>
        <w:t>验</w:t>
      </w:r>
      <w:r>
        <w:rPr>
          <w:rFonts w:ascii="Times New Roman" w:hAnsi="Times New Roman" w:eastAsia="仿宋_GB2312"/>
          <w:color w:val="000000" w:themeColor="text1"/>
          <w:sz w:val="32"/>
          <w:szCs w:val="32"/>
          <w:highlight w:val="none"/>
          <w14:textFill>
            <w14:solidFill>
              <w14:schemeClr w14:val="tx1"/>
            </w14:solidFill>
          </w14:textFill>
        </w:rPr>
        <w:t>报告提供软件版本界面照片或列明软件版本信息</w:t>
      </w:r>
      <w:r>
        <w:rPr>
          <w:rFonts w:hint="eastAsia" w:ascii="Times New Roman" w:hAnsi="Times New Roman" w:eastAsia="仿宋_GB2312"/>
          <w:color w:val="000000" w:themeColor="text1"/>
          <w:sz w:val="32"/>
          <w:szCs w:val="32"/>
          <w:highlight w:val="none"/>
          <w14:textFill>
            <w14:solidFill>
              <w14:schemeClr w14:val="tx1"/>
            </w14:solidFill>
          </w14:textFill>
        </w:rPr>
        <w:t>，有用户界面的软件体现软件发布版本、软件完整版本，无用户界面的软件体现软件完整版本。</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同一注册单元内注册检验代表产品确定原则和实例。</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用于检验产品应当能够代表申请注册产品的安全性和有效性，应充分考虑产品功能、结构组成、控制方式及其他风险等方面；代表产品应是功能、配置最齐全、结构最复杂、风险最高的产品。</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 xml:space="preserve">注册单元内各型号的主要安全指标、性能指标不能被代表型号全部涵盖时，则应选择涵盖安全指标、性能指标最多的产品作为代表产品，还应考虑其他型号中未被代表型号所涵盖的安全指标及性能指标。 </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与性能和安全项目关注点不同，电磁兼容方面的典型性产品应充分考虑注册单元内不同型号之间电磁兼容特点和差异。</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4. 研究资料</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hint="eastAsia" w:eastAsia="仿宋_GB2312"/>
          <w:color w:val="000000" w:themeColor="text1"/>
          <w:kern w:val="0"/>
          <w:sz w:val="32"/>
          <w:szCs w:val="32"/>
          <w:highlight w:val="none"/>
          <w:lang w:val="en-US" w:eastAsia="zh-CN"/>
          <w14:textFill>
            <w14:solidFill>
              <w14:schemeClr w14:val="tx1"/>
            </w14:solidFill>
          </w14:textFill>
        </w:rPr>
        <w:t>除</w:t>
      </w:r>
      <w:r>
        <w:rPr>
          <w:rFonts w:eastAsia="仿宋_GB2312"/>
          <w:color w:val="000000" w:themeColor="text1"/>
          <w:kern w:val="0"/>
          <w:sz w:val="32"/>
          <w:szCs w:val="32"/>
          <w:highlight w:val="none"/>
          <w14:textFill>
            <w14:solidFill>
              <w14:schemeClr w14:val="tx1"/>
            </w14:solidFill>
          </w14:textFill>
        </w:rPr>
        <w:t>根据申报</w:t>
      </w:r>
      <w:r>
        <w:rPr>
          <w:rFonts w:hint="eastAsia" w:eastAsia="仿宋_GB2312"/>
          <w:color w:val="000000" w:themeColor="text1"/>
          <w:kern w:val="0"/>
          <w:sz w:val="32"/>
          <w:szCs w:val="32"/>
          <w:highlight w:val="none"/>
          <w:lang w:val="en-US" w:eastAsia="zh-CN"/>
          <w14:textFill>
            <w14:solidFill>
              <w14:schemeClr w14:val="tx1"/>
            </w14:solidFill>
          </w14:textFill>
        </w:rPr>
        <w:t>产品适用范围和技术特征提供非临床研究综述外，还应针对中医脉诊设备产品</w:t>
      </w:r>
      <w:r>
        <w:rPr>
          <w:rFonts w:eastAsia="仿宋_GB2312"/>
          <w:color w:val="000000" w:themeColor="text1"/>
          <w:kern w:val="0"/>
          <w:sz w:val="32"/>
          <w:szCs w:val="32"/>
          <w:highlight w:val="none"/>
          <w14:textFill>
            <w14:solidFill>
              <w14:schemeClr w14:val="tx1"/>
            </w14:solidFill>
          </w14:textFill>
        </w:rPr>
        <w:t>的具体特点，提供</w:t>
      </w:r>
      <w:r>
        <w:rPr>
          <w:rFonts w:hint="eastAsia" w:eastAsia="仿宋_GB2312"/>
          <w:color w:val="000000" w:themeColor="text1"/>
          <w:kern w:val="0"/>
          <w:sz w:val="32"/>
          <w:szCs w:val="32"/>
          <w:highlight w:val="none"/>
          <w:lang w:val="en-US" w:eastAsia="zh-CN"/>
          <w14:textFill>
            <w14:solidFill>
              <w14:schemeClr w14:val="tx1"/>
            </w14:solidFill>
          </w14:textFill>
        </w:rPr>
        <w:t>产品使用准确性</w:t>
      </w:r>
      <w:r>
        <w:rPr>
          <w:rFonts w:eastAsia="仿宋_GB2312"/>
          <w:color w:val="000000" w:themeColor="text1"/>
          <w:kern w:val="0"/>
          <w:sz w:val="32"/>
          <w:szCs w:val="32"/>
          <w:highlight w:val="none"/>
          <w14:textFill>
            <w14:solidFill>
              <w14:schemeClr w14:val="tx1"/>
            </w14:solidFill>
          </w14:textFill>
        </w:rPr>
        <w:t>的研究资料</w:t>
      </w:r>
      <w:r>
        <w:rPr>
          <w:rFonts w:hint="eastAsia" w:eastAsia="仿宋_GB2312"/>
          <w:color w:val="000000" w:themeColor="text1"/>
          <w:kern w:val="0"/>
          <w:sz w:val="32"/>
          <w:szCs w:val="32"/>
          <w:highlight w:val="none"/>
          <w:lang w:eastAsia="zh-CN"/>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如：</w:t>
      </w:r>
      <w:r>
        <w:rPr>
          <w:rFonts w:eastAsia="仿宋_GB2312"/>
          <w:color w:val="000000" w:themeColor="text1"/>
          <w:kern w:val="0"/>
          <w:sz w:val="32"/>
          <w:szCs w:val="32"/>
          <w:highlight w:val="none"/>
          <w14:textFill>
            <w14:solidFill>
              <w14:schemeClr w14:val="tx1"/>
            </w14:solidFill>
          </w14:textFill>
        </w:rPr>
        <w:t>数据采集</w:t>
      </w:r>
      <w:r>
        <w:rPr>
          <w:rFonts w:hint="eastAsia" w:eastAsia="仿宋_GB2312"/>
          <w:color w:val="000000" w:themeColor="text1"/>
          <w:kern w:val="0"/>
          <w:sz w:val="32"/>
          <w:szCs w:val="32"/>
          <w:highlight w:val="none"/>
          <w:lang w:val="en-US" w:eastAsia="zh-CN"/>
          <w14:textFill>
            <w14:solidFill>
              <w14:schemeClr w14:val="tx1"/>
            </w14:solidFill>
          </w14:textFill>
        </w:rPr>
        <w:t>准确性</w:t>
      </w:r>
      <w:r>
        <w:rPr>
          <w:rFonts w:eastAsia="仿宋_GB2312"/>
          <w:color w:val="000000" w:themeColor="text1"/>
          <w:kern w:val="0"/>
          <w:sz w:val="32"/>
          <w:szCs w:val="32"/>
          <w:highlight w:val="none"/>
          <w14:textFill>
            <w14:solidFill>
              <w14:schemeClr w14:val="tx1"/>
            </w14:solidFill>
          </w14:textFill>
        </w:rPr>
        <w:t>研究</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数据分析准确性研究等。</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4.</w:t>
      </w:r>
      <w:r>
        <w:rPr>
          <w:rFonts w:hint="eastAsia" w:eastAsia="仿宋_GB2312"/>
          <w:color w:val="000000" w:themeColor="text1"/>
          <w:kern w:val="0"/>
          <w:sz w:val="32"/>
          <w:szCs w:val="32"/>
          <w:highlight w:val="none"/>
          <w:lang w:val="en-US" w:eastAsia="zh-CN"/>
          <w14:textFill>
            <w14:solidFill>
              <w14:schemeClr w14:val="tx1"/>
            </w14:solidFill>
          </w14:textFill>
        </w:rPr>
        <w:t>1</w:t>
      </w:r>
      <w:r>
        <w:rPr>
          <w:rFonts w:eastAsia="仿宋_GB2312"/>
          <w:color w:val="000000" w:themeColor="text1"/>
          <w:kern w:val="0"/>
          <w:sz w:val="32"/>
          <w:szCs w:val="32"/>
          <w:highlight w:val="none"/>
          <w14:textFill>
            <w14:solidFill>
              <w14:schemeClr w14:val="tx1"/>
            </w14:solidFill>
          </w14:textFill>
        </w:rPr>
        <w:t>生物相容性研究</w:t>
      </w:r>
    </w:p>
    <w:p>
      <w:pPr>
        <w:spacing w:line="520" w:lineRule="exact"/>
        <w:ind w:firstLine="640" w:firstLineChars="200"/>
        <w:rPr>
          <w:rFonts w:eastAsia="仿宋_GB2312"/>
          <w:bCs/>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依据 GB /T 16886.1标准要求开展生物学评价。按照</w:t>
      </w:r>
      <w:r>
        <w:rPr>
          <w:rFonts w:hint="eastAsia" w:eastAsia="仿宋_GB2312"/>
          <w:color w:val="000000" w:themeColor="text1"/>
          <w:sz w:val="32"/>
          <w:szCs w:val="32"/>
          <w:highlight w:val="none"/>
          <w14:textFill>
            <w14:solidFill>
              <w14:schemeClr w14:val="tx1"/>
            </w14:solidFill>
          </w14:textFill>
        </w:rPr>
        <w:t>患者和使用者直接接触</w:t>
      </w:r>
      <w:r>
        <w:rPr>
          <w:rFonts w:eastAsia="仿宋_GB2312"/>
          <w:color w:val="000000" w:themeColor="text1"/>
          <w:sz w:val="32"/>
          <w:szCs w:val="32"/>
          <w:highlight w:val="none"/>
          <w14:textFill>
            <w14:solidFill>
              <w14:schemeClr w14:val="tx1"/>
            </w14:solidFill>
          </w14:textFill>
        </w:rPr>
        <w:t>具体部件进行相应的评价。</w:t>
      </w:r>
      <w:r>
        <w:rPr>
          <w:rFonts w:eastAsia="仿宋_GB2312"/>
          <w:color w:val="000000" w:themeColor="text1"/>
          <w:kern w:val="0"/>
          <w:sz w:val="32"/>
          <w:szCs w:val="32"/>
          <w:highlight w:val="none"/>
          <w14:textFill>
            <w14:solidFill>
              <w14:schemeClr w14:val="tx1"/>
            </w14:solidFill>
          </w14:textFill>
        </w:rPr>
        <w:t>设备</w:t>
      </w:r>
      <w:r>
        <w:rPr>
          <w:rFonts w:hint="eastAsia" w:eastAsia="仿宋_GB2312"/>
          <w:color w:val="000000" w:themeColor="text1"/>
          <w:kern w:val="0"/>
          <w:sz w:val="32"/>
          <w:szCs w:val="32"/>
          <w:highlight w:val="none"/>
          <w14:textFill>
            <w14:solidFill>
              <w14:schemeClr w14:val="tx1"/>
            </w14:solidFill>
          </w14:textFill>
        </w:rPr>
        <w:t>一般</w:t>
      </w:r>
      <w:r>
        <w:rPr>
          <w:rFonts w:eastAsia="仿宋_GB2312"/>
          <w:color w:val="000000" w:themeColor="text1"/>
          <w:kern w:val="0"/>
          <w:sz w:val="32"/>
          <w:szCs w:val="32"/>
          <w:highlight w:val="none"/>
          <w14:textFill>
            <w14:solidFill>
              <w14:schemeClr w14:val="tx1"/>
            </w14:solidFill>
          </w14:textFill>
        </w:rPr>
        <w:t>与人体</w:t>
      </w:r>
      <w:r>
        <w:rPr>
          <w:rFonts w:hint="eastAsia" w:eastAsia="仿宋_GB2312"/>
          <w:color w:val="000000" w:themeColor="text1"/>
          <w:kern w:val="0"/>
          <w:sz w:val="32"/>
          <w:szCs w:val="32"/>
          <w:highlight w:val="none"/>
          <w14:textFill>
            <w14:solidFill>
              <w14:schemeClr w14:val="tx1"/>
            </w14:solidFill>
          </w14:textFill>
        </w:rPr>
        <w:t>皮肤</w:t>
      </w:r>
      <w:r>
        <w:rPr>
          <w:rFonts w:eastAsia="仿宋_GB2312"/>
          <w:color w:val="000000" w:themeColor="text1"/>
          <w:kern w:val="0"/>
          <w:sz w:val="32"/>
          <w:szCs w:val="32"/>
          <w:highlight w:val="none"/>
          <w14:textFill>
            <w14:solidFill>
              <w14:schemeClr w14:val="tx1"/>
            </w14:solidFill>
          </w14:textFill>
        </w:rPr>
        <w:t>接触的部件有传感器、加压装置、辅助采集模块。</w:t>
      </w:r>
      <w:r>
        <w:rPr>
          <w:rFonts w:eastAsia="仿宋_GB2312"/>
          <w:color w:val="000000" w:themeColor="text1"/>
          <w:sz w:val="32"/>
          <w:szCs w:val="32"/>
          <w:highlight w:val="none"/>
          <w14:textFill>
            <w14:solidFill>
              <w14:schemeClr w14:val="tx1"/>
            </w14:solidFill>
          </w14:textFill>
        </w:rPr>
        <w:t>例如，传感器与</w:t>
      </w:r>
      <w:r>
        <w:rPr>
          <w:rFonts w:hint="eastAsia" w:eastAsia="仿宋_GB2312"/>
          <w:color w:val="000000" w:themeColor="text1"/>
          <w:sz w:val="32"/>
          <w:szCs w:val="32"/>
          <w:highlight w:val="none"/>
          <w14:textFill>
            <w14:solidFill>
              <w14:schemeClr w14:val="tx1"/>
            </w14:solidFill>
          </w14:textFill>
        </w:rPr>
        <w:t>腕部皮肤短期</w:t>
      </w:r>
      <w:r>
        <w:rPr>
          <w:rFonts w:eastAsia="仿宋_GB2312"/>
          <w:color w:val="000000" w:themeColor="text1"/>
          <w:sz w:val="32"/>
          <w:szCs w:val="32"/>
          <w:highlight w:val="none"/>
          <w14:textFill>
            <w14:solidFill>
              <w14:schemeClr w14:val="tx1"/>
            </w14:solidFill>
          </w14:textFill>
        </w:rPr>
        <w:t>接触</w:t>
      </w:r>
      <w:r>
        <w:rPr>
          <w:rFonts w:hint="eastAsia" w:eastAsia="仿宋_GB2312"/>
          <w:bCs/>
          <w:color w:val="000000" w:themeColor="text1"/>
          <w:sz w:val="32"/>
          <w:szCs w:val="32"/>
          <w:highlight w:val="none"/>
          <w14:textFill>
            <w14:solidFill>
              <w14:schemeClr w14:val="tx1"/>
            </w14:solidFill>
          </w14:textFill>
        </w:rPr>
        <w:t>，按照</w:t>
      </w:r>
      <w:r>
        <w:rPr>
          <w:rFonts w:eastAsia="仿宋_GB2312"/>
          <w:color w:val="000000" w:themeColor="text1"/>
          <w:sz w:val="32"/>
          <w:szCs w:val="32"/>
          <w:highlight w:val="none"/>
          <w14:textFill>
            <w14:solidFill>
              <w14:schemeClr w14:val="tx1"/>
            </w14:solidFill>
          </w14:textFill>
        </w:rPr>
        <w:t>GB /T 16886.1</w:t>
      </w:r>
      <w:r>
        <w:rPr>
          <w:rFonts w:hint="eastAsia" w:eastAsia="仿宋_GB2312"/>
          <w:color w:val="000000" w:themeColor="text1"/>
          <w:sz w:val="32"/>
          <w:szCs w:val="32"/>
          <w:highlight w:val="none"/>
          <w14:textFill>
            <w14:solidFill>
              <w14:schemeClr w14:val="tx1"/>
            </w14:solidFill>
          </w14:textFill>
        </w:rPr>
        <w:t>标准的要求，生物相容性评价至少应考虑以下方面的要求：细胞毒性、致敏、皮肤刺激。</w:t>
      </w:r>
      <w:r>
        <w:rPr>
          <w:rFonts w:eastAsia="仿宋_GB2312"/>
          <w:bCs/>
          <w:color w:val="000000" w:themeColor="text1"/>
          <w:sz w:val="32"/>
          <w:szCs w:val="32"/>
          <w:highlight w:val="none"/>
          <w14:textFill>
            <w14:solidFill>
              <w14:schemeClr w14:val="tx1"/>
            </w14:solidFill>
          </w14:textFill>
        </w:rPr>
        <w:t>对不同接触类型的部件</w:t>
      </w:r>
      <w:r>
        <w:rPr>
          <w:rFonts w:hint="eastAsia" w:eastAsia="仿宋_GB2312"/>
          <w:bCs/>
          <w:color w:val="000000" w:themeColor="text1"/>
          <w:sz w:val="32"/>
          <w:szCs w:val="32"/>
          <w:highlight w:val="none"/>
          <w14:textFill>
            <w14:solidFill>
              <w14:schemeClr w14:val="tx1"/>
            </w14:solidFill>
          </w14:textFill>
        </w:rPr>
        <w:t>应</w:t>
      </w:r>
      <w:r>
        <w:rPr>
          <w:rFonts w:eastAsia="仿宋_GB2312"/>
          <w:bCs/>
          <w:color w:val="000000" w:themeColor="text1"/>
          <w:sz w:val="32"/>
          <w:szCs w:val="32"/>
          <w:highlight w:val="none"/>
          <w14:textFill>
            <w14:solidFill>
              <w14:schemeClr w14:val="tx1"/>
            </w14:solidFill>
          </w14:textFill>
        </w:rPr>
        <w:t>分别进行评价。豁免进行试验的项目宜给出充分理由和论证。</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4.</w:t>
      </w:r>
      <w:r>
        <w:rPr>
          <w:rFonts w:hint="eastAsia" w:eastAsia="仿宋_GB2312"/>
          <w:color w:val="000000" w:themeColor="text1"/>
          <w:kern w:val="0"/>
          <w:sz w:val="32"/>
          <w:szCs w:val="32"/>
          <w:highlight w:val="none"/>
          <w:lang w:val="en-US" w:eastAsia="zh-CN"/>
          <w14:textFill>
            <w14:solidFill>
              <w14:schemeClr w14:val="tx1"/>
            </w14:solidFill>
          </w14:textFill>
        </w:rPr>
        <w:t>2</w:t>
      </w:r>
      <w:r>
        <w:rPr>
          <w:rFonts w:eastAsia="仿宋_GB2312"/>
          <w:color w:val="000000" w:themeColor="text1"/>
          <w:kern w:val="0"/>
          <w:sz w:val="32"/>
          <w:szCs w:val="32"/>
          <w:highlight w:val="none"/>
          <w14:textFill>
            <w14:solidFill>
              <w14:schemeClr w14:val="tx1"/>
            </w14:solidFill>
          </w14:textFill>
        </w:rPr>
        <w:t>软件研究</w:t>
      </w:r>
    </w:p>
    <w:p>
      <w:pPr>
        <w:overflowPunct w:val="0"/>
        <w:spacing w:line="52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产品结构组成中若包含作为医疗器械组成部分的软件，应</w:t>
      </w:r>
      <w:r>
        <w:rPr>
          <w:rFonts w:hint="eastAsia" w:ascii="Times New Roman" w:hAnsi="Times New Roman" w:eastAsia="仿宋_GB2312"/>
          <w:color w:val="000000" w:themeColor="text1"/>
          <w:sz w:val="32"/>
          <w:szCs w:val="32"/>
          <w:highlight w:val="none"/>
          <w14:textFill>
            <w14:solidFill>
              <w14:schemeClr w14:val="tx1"/>
            </w14:solidFill>
          </w14:textFill>
        </w:rPr>
        <w:t>参</w:t>
      </w:r>
      <w:r>
        <w:rPr>
          <w:rFonts w:ascii="Times New Roman" w:hAnsi="Times New Roman" w:eastAsia="仿宋_GB2312"/>
          <w:color w:val="000000" w:themeColor="text1"/>
          <w:sz w:val="32"/>
          <w:szCs w:val="32"/>
          <w:highlight w:val="none"/>
          <w14:textFill>
            <w14:solidFill>
              <w14:schemeClr w14:val="tx1"/>
            </w14:solidFill>
          </w14:textFill>
        </w:rPr>
        <w:t>照《</w:t>
      </w:r>
      <w:r>
        <w:rPr>
          <w:rFonts w:hint="eastAsia" w:ascii="Times New Roman" w:hAnsi="Times New Roman" w:eastAsia="仿宋_GB2312"/>
          <w:color w:val="000000" w:themeColor="text1"/>
          <w:sz w:val="32"/>
          <w:szCs w:val="32"/>
          <w:highlight w:val="none"/>
          <w14:textFill>
            <w14:solidFill>
              <w14:schemeClr w14:val="tx1"/>
            </w14:solidFill>
          </w14:textFill>
        </w:rPr>
        <w:t>医疗器械软件注册审查指导原则（</w:t>
      </w:r>
      <w:r>
        <w:rPr>
          <w:rFonts w:ascii="Times New Roman" w:hAnsi="Times New Roman" w:eastAsia="仿宋_GB2312"/>
          <w:color w:val="000000" w:themeColor="text1"/>
          <w:sz w:val="32"/>
          <w:szCs w:val="32"/>
          <w:highlight w:val="none"/>
          <w14:textFill>
            <w14:solidFill>
              <w14:schemeClr w14:val="tx1"/>
            </w14:solidFill>
          </w14:textFill>
        </w:rPr>
        <w:t>2022</w:t>
      </w:r>
      <w:r>
        <w:rPr>
          <w:rFonts w:hint="eastAsia" w:ascii="Times New Roman" w:hAnsi="Times New Roman" w:eastAsia="仿宋_GB2312"/>
          <w:color w:val="000000" w:themeColor="text1"/>
          <w:sz w:val="32"/>
          <w:szCs w:val="32"/>
          <w:highlight w:val="none"/>
          <w14:textFill>
            <w14:solidFill>
              <w14:schemeClr w14:val="tx1"/>
            </w14:solidFill>
          </w14:textFill>
        </w:rPr>
        <w:t>年修订版）</w:t>
      </w:r>
      <w:r>
        <w:rPr>
          <w:rFonts w:ascii="Times New Roman" w:hAnsi="Times New Roman" w:eastAsia="仿宋_GB2312"/>
          <w:color w:val="000000" w:themeColor="text1"/>
          <w:sz w:val="32"/>
          <w:szCs w:val="32"/>
          <w:highlight w:val="none"/>
          <w14:textFill>
            <w14:solidFill>
              <w14:schemeClr w14:val="tx1"/>
            </w14:solidFill>
          </w14:textFill>
        </w:rPr>
        <w:t>》的要求提供</w:t>
      </w:r>
      <w:r>
        <w:rPr>
          <w:rFonts w:hint="eastAsia" w:ascii="Times New Roman" w:hAnsi="Times New Roman" w:eastAsia="仿宋_GB2312"/>
          <w:color w:val="000000" w:themeColor="text1"/>
          <w:sz w:val="32"/>
          <w:szCs w:val="32"/>
          <w:highlight w:val="none"/>
          <w14:textFill>
            <w14:solidFill>
              <w14:schemeClr w14:val="tx1"/>
            </w14:solidFill>
          </w14:textFill>
        </w:rPr>
        <w:t>研究资料</w:t>
      </w:r>
      <w:r>
        <w:rPr>
          <w:rFonts w:ascii="Times New Roman" w:hAnsi="Times New Roman" w:eastAsia="仿宋_GB2312"/>
          <w:color w:val="000000" w:themeColor="text1"/>
          <w:sz w:val="32"/>
          <w:szCs w:val="32"/>
          <w:highlight w:val="none"/>
          <w14:textFill>
            <w14:solidFill>
              <w14:schemeClr w14:val="tx1"/>
            </w14:solidFill>
          </w14:textFill>
        </w:rPr>
        <w:t>，内容包括</w:t>
      </w:r>
      <w:r>
        <w:rPr>
          <w:rFonts w:hint="eastAsia" w:ascii="Times New Roman" w:hAnsi="Times New Roman" w:eastAsia="仿宋_GB2312"/>
          <w:color w:val="000000" w:themeColor="text1"/>
          <w:sz w:val="32"/>
          <w:szCs w:val="32"/>
          <w:highlight w:val="none"/>
          <w14:textFill>
            <w14:solidFill>
              <w14:schemeClr w14:val="tx1"/>
            </w14:solidFill>
          </w14:textFill>
        </w:rPr>
        <w:t>基本信息、实现过程、核心功能、结论等内容，详尽程度取决于软件安全性级别，该类产品一般为中等。其中，基本信息包括软件标识、安全性级别、结构功能、物理拓扑、运行环境、注册历史，实现过程包括开发概况、风险管理、需求规范、生存周期、验证与确认、可追溯性分析、缺陷管理、更新历史，明确核心功能、核心算法、预期用途的对应关系。软件功能的验证与确认至少应体现适用范围中宣称的测量功能，且应当与其它申报资料保持一致。</w:t>
      </w:r>
    </w:p>
    <w:p>
      <w:pPr>
        <w:spacing w:line="520" w:lineRule="exact"/>
        <w:ind w:firstLine="640" w:firstLineChars="200"/>
        <w:jc w:val="left"/>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产品若</w:t>
      </w:r>
      <w:r>
        <w:rPr>
          <w:rFonts w:hint="eastAsia" w:ascii="Times New Roman" w:hAnsi="Times New Roman" w:eastAsia="仿宋_GB2312"/>
          <w:color w:val="000000" w:themeColor="text1"/>
          <w:sz w:val="32"/>
          <w:szCs w:val="32"/>
          <w:highlight w:val="none"/>
          <w14:textFill>
            <w14:solidFill>
              <w14:schemeClr w14:val="tx1"/>
            </w14:solidFill>
          </w14:textFill>
        </w:rPr>
        <w:t>具备电子数据交换、远程控制或用户访问功能的独立软件和含有软件组件的产品，应当参照</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医疗器械网络安全注册审查指导原则（</w:t>
      </w:r>
      <w:r>
        <w:rPr>
          <w:rFonts w:ascii="Times New Roman" w:hAnsi="Times New Roman" w:eastAsia="仿宋_GB2312"/>
          <w:color w:val="000000" w:themeColor="text1"/>
          <w:sz w:val="32"/>
          <w:szCs w:val="32"/>
          <w:highlight w:val="none"/>
          <w14:textFill>
            <w14:solidFill>
              <w14:schemeClr w14:val="tx1"/>
            </w14:solidFill>
          </w14:textFill>
        </w:rPr>
        <w:t>2022</w:t>
      </w:r>
      <w:r>
        <w:rPr>
          <w:rFonts w:hint="eastAsia" w:ascii="Times New Roman" w:hAnsi="Times New Roman" w:eastAsia="仿宋_GB2312"/>
          <w:color w:val="000000" w:themeColor="text1"/>
          <w:sz w:val="32"/>
          <w:szCs w:val="32"/>
          <w:highlight w:val="none"/>
          <w14:textFill>
            <w14:solidFill>
              <w14:schemeClr w14:val="tx1"/>
            </w14:solidFill>
          </w14:textFill>
        </w:rPr>
        <w:t>年修订版）</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提供研究资料，基本信息包括软件信息、数据架构、网络安全能力、网络安全补丁、安全软件，实现过程包括风险管理、需求规范、验证与确认、可追溯性分析、更新维护计划，漏洞评估明确已知漏洞相关信息。</w:t>
      </w:r>
      <w:r>
        <w:rPr>
          <w:rFonts w:ascii="Times New Roman" w:hAnsi="Times New Roman" w:eastAsia="仿宋_GB2312"/>
          <w:color w:val="000000" w:themeColor="text1"/>
          <w:sz w:val="32"/>
          <w:szCs w:val="32"/>
          <w:highlight w:val="none"/>
          <w14:textFill>
            <w14:solidFill>
              <w14:schemeClr w14:val="tx1"/>
            </w14:solidFill>
          </w14:textFill>
        </w:rPr>
        <w:t>应提交网络安全描述文档，并在产品技术要求中规定相应的性能指标。</w:t>
      </w:r>
    </w:p>
    <w:p>
      <w:pPr>
        <w:spacing w:line="520" w:lineRule="exact"/>
        <w:ind w:firstLine="640" w:firstLineChars="200"/>
        <w:jc w:val="left"/>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通过电子接口与其他医疗器械或非医疗器械交换并使用信息，应提供互操作性研究资料，包括基本信息、需求规范、风险管理、验证与确认、维护计划等内容。</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4.</w:t>
      </w:r>
      <w:r>
        <w:rPr>
          <w:rFonts w:hint="eastAsia" w:eastAsia="仿宋_GB2312"/>
          <w:color w:val="000000" w:themeColor="text1"/>
          <w:kern w:val="0"/>
          <w:sz w:val="32"/>
          <w:szCs w:val="32"/>
          <w:highlight w:val="none"/>
          <w:lang w:val="en-US" w:eastAsia="zh-CN"/>
          <w14:textFill>
            <w14:solidFill>
              <w14:schemeClr w14:val="tx1"/>
            </w14:solidFill>
          </w14:textFill>
        </w:rPr>
        <w:t>3</w:t>
      </w:r>
      <w:r>
        <w:rPr>
          <w:rFonts w:eastAsia="仿宋_GB2312"/>
          <w:color w:val="000000" w:themeColor="text1"/>
          <w:kern w:val="0"/>
          <w:sz w:val="32"/>
          <w:szCs w:val="32"/>
          <w:highlight w:val="none"/>
          <w14:textFill>
            <w14:solidFill>
              <w14:schemeClr w14:val="tx1"/>
            </w14:solidFill>
          </w14:textFill>
        </w:rPr>
        <w:t>清洁</w:t>
      </w:r>
      <w:r>
        <w:rPr>
          <w:rFonts w:hint="eastAsia" w:eastAsia="仿宋_GB2312"/>
          <w:color w:val="000000" w:themeColor="text1"/>
          <w:kern w:val="0"/>
          <w:sz w:val="32"/>
          <w:szCs w:val="32"/>
          <w:highlight w:val="none"/>
          <w:lang w:val="en-US" w:eastAsia="zh-CN"/>
          <w14:textFill>
            <w14:solidFill>
              <w14:schemeClr w14:val="tx1"/>
            </w14:solidFill>
          </w14:textFill>
        </w:rPr>
        <w:t>消毒</w:t>
      </w:r>
      <w:r>
        <w:rPr>
          <w:rFonts w:eastAsia="仿宋_GB2312"/>
          <w:color w:val="000000" w:themeColor="text1"/>
          <w:kern w:val="0"/>
          <w:sz w:val="32"/>
          <w:szCs w:val="32"/>
          <w:highlight w:val="none"/>
          <w14:textFill>
            <w14:solidFill>
              <w14:schemeClr w14:val="tx1"/>
            </w14:solidFill>
          </w14:textFill>
        </w:rPr>
        <w:t>研究</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申请人应开展清洁</w:t>
      </w:r>
      <w:r>
        <w:rPr>
          <w:rFonts w:hint="eastAsia" w:eastAsia="仿宋_GB2312"/>
          <w:color w:val="000000" w:themeColor="text1"/>
          <w:kern w:val="0"/>
          <w:sz w:val="32"/>
          <w:szCs w:val="32"/>
          <w:highlight w:val="none"/>
          <w:lang w:val="en-US" w:eastAsia="zh-CN"/>
          <w14:textFill>
            <w14:solidFill>
              <w14:schemeClr w14:val="tx1"/>
            </w14:solidFill>
          </w14:textFill>
        </w:rPr>
        <w:t>消毒</w:t>
      </w:r>
      <w:r>
        <w:rPr>
          <w:rFonts w:eastAsia="仿宋_GB2312"/>
          <w:color w:val="000000" w:themeColor="text1"/>
          <w:kern w:val="0"/>
          <w:sz w:val="32"/>
          <w:szCs w:val="32"/>
          <w:highlight w:val="none"/>
          <w14:textFill>
            <w14:solidFill>
              <w14:schemeClr w14:val="tx1"/>
            </w14:solidFill>
          </w14:textFill>
        </w:rPr>
        <w:t>研究。申报产品在使用前应对与患者接触部件进行</w:t>
      </w:r>
      <w:r>
        <w:rPr>
          <w:rFonts w:hint="eastAsia" w:eastAsia="仿宋_GB2312"/>
          <w:color w:val="000000" w:themeColor="text1"/>
          <w:kern w:val="0"/>
          <w:sz w:val="32"/>
          <w:szCs w:val="32"/>
          <w:highlight w:val="none"/>
          <w:lang w:val="en-US" w:eastAsia="zh-CN"/>
          <w14:textFill>
            <w14:solidFill>
              <w14:schemeClr w14:val="tx1"/>
            </w14:solidFill>
          </w14:textFill>
        </w:rPr>
        <w:t>清洁消毒</w:t>
      </w:r>
      <w:r>
        <w:rPr>
          <w:rFonts w:eastAsia="仿宋_GB2312"/>
          <w:color w:val="000000" w:themeColor="text1"/>
          <w:kern w:val="0"/>
          <w:sz w:val="32"/>
          <w:szCs w:val="32"/>
          <w:highlight w:val="none"/>
          <w14:textFill>
            <w14:solidFill>
              <w14:schemeClr w14:val="tx1"/>
            </w14:solidFill>
          </w14:textFill>
        </w:rPr>
        <w:t>处理。</w:t>
      </w:r>
      <w:r>
        <w:rPr>
          <w:rFonts w:hint="eastAsia" w:eastAsia="仿宋_GB2312"/>
          <w:color w:val="000000" w:themeColor="text1"/>
          <w:kern w:val="0"/>
          <w:sz w:val="32"/>
          <w:szCs w:val="32"/>
          <w:highlight w:val="none"/>
          <w14:textFill>
            <w14:solidFill>
              <w14:schemeClr w14:val="tx1"/>
            </w14:solidFill>
          </w14:textFill>
        </w:rPr>
        <w:t>应当明确推荐的清洗和消毒工艺（方法和参数）、工艺的确定依据以及验证的相关研究资料。</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5. 稳定性研究</w:t>
      </w:r>
    </w:p>
    <w:p>
      <w:pPr>
        <w:spacing w:line="520" w:lineRule="exact"/>
        <w:ind w:firstLine="640" w:firstLineChars="200"/>
        <w:jc w:val="left"/>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使用期限一般主要取决于使用过程中部件、元器件的损耗、老化等，注册申请人应按照声称的使用期限对设备进行老化/疲劳试验，也可对影响设备使用期限的关键部件进行老化/疲劳试验，例如设备中不可更换（或更换成本高）的部件，并提供相应的研究资料。研究资料应能证明上述部件按照所声称的使用期限，经过老化/疲劳试验后，产品性能和安全仍符合预期的要求。使用期限也可基于已有数据进行合理的推断、分析、计算得出，但应提供详细的说明及支持性资料。可参考《有源医疗器械使用期限技术审查指导原则》的要求。</w:t>
      </w:r>
    </w:p>
    <w:p>
      <w:pPr>
        <w:spacing w:line="520" w:lineRule="exact"/>
        <w:ind w:firstLine="640" w:firstLineChars="200"/>
        <w:jc w:val="left"/>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注册申请人对包装和产品进行模拟试验，模拟在贮存和运输过程中，遇到极端情况时，例如环境（温湿度、气压等）变化、跌落、振动、加速度等，产品不会发生性能、功能改变，包装系统具有保护产品的能力。经过模拟试验后，观察包装外观是否有不可接受的异常现象，对产品进行性能测试，证明运输和环境测试后产品能够保持其完整性和功能性。</w:t>
      </w:r>
      <w:r>
        <w:rPr>
          <w:rFonts w:hint="eastAsia" w:ascii="Times New Roman" w:hAnsi="Times New Roman" w:eastAsia="仿宋_GB2312"/>
          <w:color w:val="000000" w:themeColor="text1"/>
          <w:sz w:val="32"/>
          <w:szCs w:val="32"/>
          <w:highlight w:val="none"/>
          <w14:textFill>
            <w14:solidFill>
              <w14:schemeClr w14:val="tx1"/>
            </w14:solidFill>
          </w14:textFill>
        </w:rPr>
        <w:t>环境试验可参考GB/T14710的要求。</w:t>
      </w:r>
    </w:p>
    <w:p>
      <w:pPr>
        <w:spacing w:line="520" w:lineRule="exact"/>
        <w:ind w:firstLine="640" w:firstLineChars="200"/>
        <w:jc w:val="left"/>
        <w:outlineLvl w:val="1"/>
        <w:rPr>
          <w:rFonts w:ascii="Times New Roman" w:hAnsi="Times New Roman" w:eastAsia="楷体_GB2312"/>
          <w:color w:val="000000"/>
          <w:sz w:val="32"/>
          <w:szCs w:val="32"/>
        </w:rPr>
      </w:pPr>
      <w:r>
        <w:rPr>
          <w:rFonts w:ascii="Times New Roman" w:hAnsi="Times New Roman" w:eastAsia="楷体_GB2312"/>
          <w:color w:val="000000"/>
          <w:sz w:val="32"/>
          <w:szCs w:val="32"/>
        </w:rPr>
        <w:t>（四）临床评价资料</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中医脉诊设备的临床评价应遵循该类产品研发的基本规律以及中医理论和实践，通过科学的过程来评估产品临床疗效和潜在风险，最终确定产品在预期用途下的安全性和有效性，并为产品使用说明书的撰写提供依据。</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申请人可参考《医疗器械临床试验质量管理规范》《医疗器械临床评价技术指导原则》《医疗器械等同性论证技术指导原则》《决策是否开展医疗器械临床试验技术指导原则》等相关要求开展中医脉诊设备的临床评价</w:t>
      </w:r>
      <w:r>
        <w:rPr>
          <w:rFonts w:hint="eastAsia" w:eastAsia="仿宋_GB2312"/>
          <w:color w:val="000000" w:themeColor="text1"/>
          <w:kern w:val="0"/>
          <w:sz w:val="32"/>
          <w:szCs w:val="32"/>
          <w:highlight w:val="none"/>
          <w:lang w:val="en-US" w:eastAsia="zh-CN"/>
          <w14:textFill>
            <w14:solidFill>
              <w14:schemeClr w14:val="tx1"/>
            </w14:solidFill>
          </w14:textFill>
        </w:rPr>
        <w:t>并提供临床评价资料</w:t>
      </w:r>
      <w:r>
        <w:rPr>
          <w:rFonts w:eastAsia="仿宋_GB2312"/>
          <w:color w:val="000000" w:themeColor="text1"/>
          <w:kern w:val="0"/>
          <w:sz w:val="32"/>
          <w:szCs w:val="32"/>
          <w:highlight w:val="none"/>
          <w14:textFill>
            <w14:solidFill>
              <w14:schemeClr w14:val="tx1"/>
            </w14:solidFill>
          </w14:textFill>
        </w:rPr>
        <w:t>。</w:t>
      </w:r>
    </w:p>
    <w:p>
      <w:pPr>
        <w:spacing w:line="520" w:lineRule="exact"/>
        <w:ind w:firstLine="640" w:firstLineChars="200"/>
        <w:rPr>
          <w:rFonts w:hint="eastAsia" w:eastAsia="仿宋_GB2312"/>
          <w:color w:val="000000" w:themeColor="text1"/>
          <w:kern w:val="0"/>
          <w:sz w:val="32"/>
          <w:szCs w:val="32"/>
          <w:highlight w:val="none"/>
          <w:lang w:val="en-US" w:eastAsia="zh-CN"/>
          <w14:textFill>
            <w14:solidFill>
              <w14:schemeClr w14:val="tx1"/>
            </w14:solidFill>
          </w14:textFill>
        </w:rPr>
      </w:pPr>
      <w:r>
        <w:rPr>
          <w:rFonts w:hint="eastAsia" w:eastAsia="仿宋_GB2312"/>
          <w:color w:val="000000" w:themeColor="text1"/>
          <w:kern w:val="0"/>
          <w:sz w:val="32"/>
          <w:szCs w:val="32"/>
          <w:highlight w:val="none"/>
          <w:lang w:val="en-US" w:eastAsia="zh-CN"/>
          <w14:textFill>
            <w14:solidFill>
              <w14:schemeClr w14:val="tx1"/>
            </w14:solidFill>
          </w14:textFill>
        </w:rPr>
        <w:t>临床评价资料应包含：</w:t>
      </w:r>
    </w:p>
    <w:p>
      <w:pPr>
        <w:spacing w:line="520" w:lineRule="exact"/>
        <w:ind w:firstLine="640" w:firstLineChars="200"/>
        <w:rPr>
          <w:rFonts w:hint="default" w:eastAsia="仿宋_GB2312"/>
          <w:color w:val="000000" w:themeColor="text1"/>
          <w:kern w:val="0"/>
          <w:sz w:val="32"/>
          <w:szCs w:val="32"/>
          <w:highlight w:val="none"/>
          <w:lang w:val="en-US" w:eastAsia="zh-CN"/>
          <w14:textFill>
            <w14:solidFill>
              <w14:schemeClr w14:val="tx1"/>
            </w14:solidFill>
          </w14:textFill>
        </w:rPr>
      </w:pPr>
      <w:r>
        <w:rPr>
          <w:rFonts w:hint="default" w:eastAsia="仿宋_GB2312"/>
          <w:color w:val="000000" w:themeColor="text1"/>
          <w:kern w:val="0"/>
          <w:sz w:val="32"/>
          <w:szCs w:val="32"/>
          <w:highlight w:val="none"/>
          <w:lang w:val="en-US" w:eastAsia="zh-CN"/>
          <w14:textFill>
            <w14:solidFill>
              <w14:schemeClr w14:val="tx1"/>
            </w14:solidFill>
          </w14:textFill>
        </w:rPr>
        <w:t>1.产品描述和研发背景：包括申报产品基本信息、适用范围、现有的诊断或治疗方法及涉及医疗器械的临床应用情况、申报产品与现有诊断或治疗方法的关系、预期达到的临床疗效等。</w:t>
      </w:r>
    </w:p>
    <w:p>
      <w:pPr>
        <w:spacing w:line="520" w:lineRule="exact"/>
        <w:ind w:firstLine="640" w:firstLineChars="200"/>
        <w:rPr>
          <w:rFonts w:hint="default" w:eastAsia="仿宋_GB2312"/>
          <w:color w:val="000000" w:themeColor="text1"/>
          <w:kern w:val="0"/>
          <w:sz w:val="32"/>
          <w:szCs w:val="32"/>
          <w:highlight w:val="none"/>
          <w:lang w:val="en-US" w:eastAsia="zh-CN"/>
          <w14:textFill>
            <w14:solidFill>
              <w14:schemeClr w14:val="tx1"/>
            </w14:solidFill>
          </w14:textFill>
        </w:rPr>
      </w:pPr>
      <w:r>
        <w:rPr>
          <w:rFonts w:hint="default" w:eastAsia="仿宋_GB2312"/>
          <w:color w:val="000000" w:themeColor="text1"/>
          <w:kern w:val="0"/>
          <w:sz w:val="32"/>
          <w:szCs w:val="32"/>
          <w:highlight w:val="none"/>
          <w:lang w:val="en-US" w:eastAsia="zh-CN"/>
          <w14:textFill>
            <w14:solidFill>
              <w14:schemeClr w14:val="tx1"/>
            </w14:solidFill>
          </w14:textFill>
        </w:rPr>
        <w:t>2.明确临床评价涵盖的范围，申报产品中如有可免于进行临床评价的部分，描述其结构组成并说明免于进行临床评价的理由。</w:t>
      </w:r>
    </w:p>
    <w:p>
      <w:pPr>
        <w:spacing w:line="520" w:lineRule="exact"/>
        <w:ind w:firstLine="640" w:firstLineChars="200"/>
        <w:rPr>
          <w:rFonts w:hint="default" w:eastAsia="仿宋_GB2312"/>
          <w:color w:val="000000" w:themeColor="text1"/>
          <w:kern w:val="0"/>
          <w:sz w:val="32"/>
          <w:szCs w:val="32"/>
          <w:highlight w:val="none"/>
          <w:lang w:val="en-US" w:eastAsia="zh-CN"/>
          <w14:textFill>
            <w14:solidFill>
              <w14:schemeClr w14:val="tx1"/>
            </w14:solidFill>
          </w14:textFill>
        </w:rPr>
      </w:pPr>
      <w:r>
        <w:rPr>
          <w:rFonts w:hint="default" w:eastAsia="仿宋_GB2312"/>
          <w:color w:val="000000" w:themeColor="text1"/>
          <w:kern w:val="0"/>
          <w:sz w:val="32"/>
          <w:szCs w:val="32"/>
          <w:highlight w:val="none"/>
          <w:lang w:val="en-US" w:eastAsia="zh-CN"/>
          <w14:textFill>
            <w14:solidFill>
              <w14:schemeClr w14:val="tx1"/>
            </w14:solidFill>
          </w14:textFill>
        </w:rPr>
        <w:t>3.临床评价路径：根据申报产品的适用范围、技术特征、已有临床数据等具体情况，选择恰当的临床评价路径，包括同品种临床评价路径和/或临床试验路径。</w:t>
      </w:r>
    </w:p>
    <w:p>
      <w:pPr>
        <w:spacing w:line="520" w:lineRule="exact"/>
        <w:ind w:firstLine="640" w:firstLineChars="200"/>
        <w:rPr>
          <w:rFonts w:hint="default" w:eastAsia="仿宋_GB2312"/>
          <w:color w:val="000000" w:themeColor="text1"/>
          <w:kern w:val="0"/>
          <w:sz w:val="32"/>
          <w:szCs w:val="32"/>
          <w:highlight w:val="none"/>
          <w:lang w:val="en-US" w:eastAsia="zh-CN"/>
          <w14:textFill>
            <w14:solidFill>
              <w14:schemeClr w14:val="tx1"/>
            </w14:solidFill>
          </w14:textFill>
        </w:rPr>
      </w:pPr>
      <w:r>
        <w:rPr>
          <w:rFonts w:hint="default" w:eastAsia="仿宋_GB2312"/>
          <w:color w:val="000000" w:themeColor="text1"/>
          <w:kern w:val="0"/>
          <w:sz w:val="32"/>
          <w:szCs w:val="32"/>
          <w:highlight w:val="none"/>
          <w:lang w:val="en-US" w:eastAsia="zh-CN"/>
          <w14:textFill>
            <w14:solidFill>
              <w14:schemeClr w14:val="tx1"/>
            </w14:solidFill>
          </w14:textFill>
        </w:rPr>
        <w:t>4.若通过同品种临床评价路径进行临床评价，应当提交申报产品与同品种医疗器械在适用范围、技术特征、生物学特性方面的对比资料；应当对同品种医疗器械的临床数据进行收集、评估和分析，形成临床证据。如适用，应当描述申报产品与同品种医疗器械的差异，提交充分的科学证据证明二者具有相同的安全有效性。</w:t>
      </w:r>
    </w:p>
    <w:p>
      <w:pPr>
        <w:spacing w:line="520" w:lineRule="exact"/>
        <w:ind w:firstLine="640" w:firstLineChars="200"/>
        <w:rPr>
          <w:rFonts w:hint="default" w:eastAsia="仿宋_GB2312"/>
          <w:color w:val="000000" w:themeColor="text1"/>
          <w:kern w:val="0"/>
          <w:sz w:val="32"/>
          <w:szCs w:val="32"/>
          <w:highlight w:val="none"/>
          <w:lang w:val="en-US" w:eastAsia="zh-CN"/>
          <w14:textFill>
            <w14:solidFill>
              <w14:schemeClr w14:val="tx1"/>
            </w14:solidFill>
          </w14:textFill>
        </w:rPr>
      </w:pPr>
      <w:r>
        <w:rPr>
          <w:rFonts w:hint="default" w:eastAsia="仿宋_GB2312"/>
          <w:color w:val="000000" w:themeColor="text1"/>
          <w:kern w:val="0"/>
          <w:sz w:val="32"/>
          <w:szCs w:val="32"/>
          <w:highlight w:val="none"/>
          <w:lang w:val="en-US" w:eastAsia="zh-CN"/>
          <w14:textFill>
            <w14:solidFill>
              <w14:schemeClr w14:val="tx1"/>
            </w14:solidFill>
          </w14:textFill>
        </w:rPr>
        <w:t>5.若通过临床试验路径进行临床评价，应当提交临床试验方案、临床试验机构伦理委员会同意开展临床试验的书面意见、临床试验报告、知情同意书样本，并附临床试验数据库（原始数据库、分析数据库、说明性文件和程序代码）。</w:t>
      </w:r>
    </w:p>
    <w:p>
      <w:pPr>
        <w:spacing w:line="52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建议申请人结合中医脉诊设备的风险和受益，选择合理的临床评价路径，论证其临床应用的安全有效性。</w:t>
      </w:r>
    </w:p>
    <w:p>
      <w:pPr>
        <w:spacing w:line="520" w:lineRule="exact"/>
        <w:ind w:firstLine="640" w:firstLineChars="200"/>
        <w:jc w:val="left"/>
        <w:outlineLvl w:val="1"/>
        <w:rPr>
          <w:rFonts w:ascii="Times New Roman" w:hAnsi="Times New Roman" w:eastAsia="楷体_GB2312"/>
          <w:color w:val="000000"/>
          <w:sz w:val="32"/>
          <w:szCs w:val="32"/>
        </w:rPr>
      </w:pPr>
      <w:r>
        <w:rPr>
          <w:rFonts w:ascii="Times New Roman" w:hAnsi="Times New Roman" w:eastAsia="楷体_GB2312"/>
          <w:color w:val="000000"/>
          <w:sz w:val="32"/>
          <w:szCs w:val="32"/>
        </w:rPr>
        <w:t>（五）产品说明书和标签样稿</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申报产品的说明书、标签样稿应当符合《</w:t>
      </w:r>
      <w:r>
        <w:rPr>
          <w:rFonts w:eastAsia="仿宋_GB2312"/>
          <w:bCs/>
          <w:color w:val="000000" w:themeColor="text1"/>
          <w:sz w:val="32"/>
          <w:szCs w:val="28"/>
          <w:highlight w:val="none"/>
          <w14:textFill>
            <w14:solidFill>
              <w14:schemeClr w14:val="tx1"/>
            </w14:solidFill>
          </w14:textFill>
        </w:rPr>
        <w:t>医疗器械说明书和标签管理规定</w:t>
      </w:r>
      <w:r>
        <w:rPr>
          <w:rFonts w:hint="eastAsia"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以及</w:t>
      </w:r>
      <w:r>
        <w:rPr>
          <w:rFonts w:eastAsia="仿宋_GB2312"/>
          <w:color w:val="000000" w:themeColor="text1"/>
          <w:kern w:val="0"/>
          <w:sz w:val="32"/>
          <w:szCs w:val="32"/>
          <w:highlight w:val="none"/>
          <w14:textFill>
            <w14:solidFill>
              <w14:schemeClr w14:val="tx1"/>
            </w14:solidFill>
          </w14:textFill>
        </w:rPr>
        <w:t>GB 9706.1、YY 9706.102中有关要求，除此之外，说明书中</w:t>
      </w:r>
      <w:r>
        <w:rPr>
          <w:rFonts w:hint="eastAsia" w:eastAsia="仿宋_GB2312"/>
          <w:color w:val="000000" w:themeColor="text1"/>
          <w:kern w:val="0"/>
          <w:sz w:val="32"/>
          <w:szCs w:val="32"/>
          <w:highlight w:val="none"/>
          <w:lang w:val="en-US" w:eastAsia="zh-CN"/>
          <w14:textFill>
            <w14:solidFill>
              <w14:schemeClr w14:val="tx1"/>
            </w14:solidFill>
          </w14:textFill>
        </w:rPr>
        <w:t>还应</w:t>
      </w:r>
      <w:r>
        <w:rPr>
          <w:rFonts w:eastAsia="仿宋_GB2312"/>
          <w:color w:val="000000" w:themeColor="text1"/>
          <w:kern w:val="0"/>
          <w:sz w:val="32"/>
          <w:szCs w:val="32"/>
          <w:highlight w:val="none"/>
          <w14:textFill>
            <w14:solidFill>
              <w14:schemeClr w14:val="tx1"/>
            </w14:solidFill>
          </w14:textFill>
        </w:rPr>
        <w:t>包含以下内容：</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1.明确申报设备的消毒</w:t>
      </w:r>
      <w:r>
        <w:rPr>
          <w:rFonts w:hint="eastAsia" w:eastAsia="仿宋_GB2312"/>
          <w:color w:val="000000" w:themeColor="text1"/>
          <w:kern w:val="0"/>
          <w:sz w:val="32"/>
          <w:szCs w:val="32"/>
          <w:highlight w:val="none"/>
          <w:lang w:val="en-US" w:eastAsia="zh-CN"/>
          <w14:textFill>
            <w14:solidFill>
              <w14:schemeClr w14:val="tx1"/>
            </w14:solidFill>
          </w14:textFill>
        </w:rPr>
        <w:t>方式</w:t>
      </w:r>
      <w:r>
        <w:rPr>
          <w:rFonts w:eastAsia="仿宋_GB2312"/>
          <w:color w:val="000000" w:themeColor="text1"/>
          <w:kern w:val="0"/>
          <w:sz w:val="32"/>
          <w:szCs w:val="32"/>
          <w:highlight w:val="none"/>
          <w14:textFill>
            <w14:solidFill>
              <w14:schemeClr w14:val="tx1"/>
            </w14:solidFill>
          </w14:textFill>
        </w:rPr>
        <w:t>。</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2.明确申报设备的有效期。</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hint="eastAsia" w:eastAsia="仿宋_GB2312"/>
          <w:color w:val="000000" w:themeColor="text1"/>
          <w:kern w:val="0"/>
          <w:sz w:val="32"/>
          <w:szCs w:val="32"/>
          <w:highlight w:val="none"/>
          <w:lang w:val="en-US" w:eastAsia="zh-CN"/>
          <w14:textFill>
            <w14:solidFill>
              <w14:schemeClr w14:val="tx1"/>
            </w14:solidFill>
          </w14:textFill>
        </w:rPr>
        <w:t>3</w:t>
      </w:r>
      <w:r>
        <w:rPr>
          <w:rFonts w:eastAsia="仿宋_GB2312"/>
          <w:color w:val="000000" w:themeColor="text1"/>
          <w:kern w:val="0"/>
          <w:sz w:val="32"/>
          <w:szCs w:val="32"/>
          <w:highlight w:val="none"/>
          <w14:textFill>
            <w14:solidFill>
              <w14:schemeClr w14:val="tx1"/>
            </w14:solidFill>
          </w14:textFill>
        </w:rPr>
        <w:t>.应说明申报设备的安装、拆卸、更换方式。</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hint="eastAsia" w:eastAsia="仿宋_GB2312"/>
          <w:color w:val="000000" w:themeColor="text1"/>
          <w:kern w:val="0"/>
          <w:sz w:val="32"/>
          <w:szCs w:val="32"/>
          <w:highlight w:val="none"/>
          <w:lang w:val="en-US" w:eastAsia="zh-CN"/>
          <w14:textFill>
            <w14:solidFill>
              <w14:schemeClr w14:val="tx1"/>
            </w14:solidFill>
          </w14:textFill>
        </w:rPr>
        <w:t>4</w:t>
      </w:r>
      <w:r>
        <w:rPr>
          <w:rFonts w:eastAsia="仿宋_GB2312"/>
          <w:color w:val="000000" w:themeColor="text1"/>
          <w:kern w:val="0"/>
          <w:sz w:val="32"/>
          <w:szCs w:val="32"/>
          <w:highlight w:val="none"/>
          <w14:textFill>
            <w14:solidFill>
              <w14:schemeClr w14:val="tx1"/>
            </w14:solidFill>
          </w14:textFill>
        </w:rPr>
        <w:t>.使用说明任何意外情况时，操作者快速安全地从患者身上移除脉象采集设备的</w:t>
      </w:r>
      <w:r>
        <w:rPr>
          <w:rFonts w:hint="eastAsia" w:eastAsia="仿宋_GB2312"/>
          <w:color w:val="000000" w:themeColor="text1"/>
          <w:kern w:val="0"/>
          <w:sz w:val="32"/>
          <w:szCs w:val="32"/>
          <w:highlight w:val="none"/>
          <w:lang w:eastAsia="zh-CN"/>
          <w14:textFill>
            <w14:solidFill>
              <w14:schemeClr w14:val="tx1"/>
            </w14:solidFill>
          </w14:textFill>
        </w:rPr>
        <w:t>加压装置</w:t>
      </w:r>
      <w:r>
        <w:rPr>
          <w:rFonts w:hint="eastAsia" w:eastAsia="仿宋_GB2312"/>
          <w:color w:val="000000" w:themeColor="text1"/>
          <w:kern w:val="0"/>
          <w:sz w:val="32"/>
          <w:szCs w:val="32"/>
          <w:highlight w:val="none"/>
          <w14:textFill>
            <w14:solidFill>
              <w14:schemeClr w14:val="tx1"/>
            </w14:solidFill>
          </w14:textFill>
        </w:rPr>
        <w:t>的操作步骤及方法</w:t>
      </w:r>
      <w:r>
        <w:rPr>
          <w:rFonts w:eastAsia="仿宋_GB2312"/>
          <w:color w:val="000000" w:themeColor="text1"/>
          <w:kern w:val="0"/>
          <w:sz w:val="32"/>
          <w:szCs w:val="32"/>
          <w:highlight w:val="none"/>
          <w14:textFill>
            <w14:solidFill>
              <w14:schemeClr w14:val="tx1"/>
            </w14:solidFill>
          </w14:textFill>
        </w:rPr>
        <w:t>。</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产品说明书的内容均应有明确的来源，与综述资料、研究资料及产品技术要求等注册申报资料的内容保持一致。说明书中涉及技术内容且产品技术要求中未包含的，应提交相应验证资料。</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产品说明书还需结合产品特点明确以下内容：</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（1）设备的注意事项及警告信息。</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（2）明确“本产品须在</w:t>
      </w:r>
      <w:r>
        <w:rPr>
          <w:rFonts w:hint="eastAsia" w:eastAsia="仿宋_GB2312"/>
          <w:color w:val="000000" w:themeColor="text1"/>
          <w:kern w:val="0"/>
          <w:sz w:val="32"/>
          <w:szCs w:val="32"/>
          <w:highlight w:val="none"/>
          <w14:textFill>
            <w14:solidFill>
              <w14:schemeClr w14:val="tx1"/>
            </w14:solidFill>
          </w14:textFill>
        </w:rPr>
        <w:t>医疗机构中</w:t>
      </w:r>
      <w:r>
        <w:rPr>
          <w:rFonts w:eastAsia="仿宋_GB2312"/>
          <w:color w:val="000000" w:themeColor="text1"/>
          <w:kern w:val="0"/>
          <w:sz w:val="32"/>
          <w:szCs w:val="32"/>
          <w:highlight w:val="none"/>
          <w14:textFill>
            <w14:solidFill>
              <w14:schemeClr w14:val="tx1"/>
            </w14:solidFill>
          </w14:textFill>
        </w:rPr>
        <w:t>使用，在使用前请务必详细阅读使用</w:t>
      </w:r>
      <w:r>
        <w:rPr>
          <w:rFonts w:hint="eastAsia" w:eastAsia="仿宋_GB2312"/>
          <w:color w:val="000000" w:themeColor="text1"/>
          <w:kern w:val="0"/>
          <w:sz w:val="32"/>
          <w:szCs w:val="32"/>
          <w:highlight w:val="none"/>
          <w:lang w:val="en-US" w:eastAsia="zh-CN"/>
          <w14:textFill>
            <w14:solidFill>
              <w14:schemeClr w14:val="tx1"/>
            </w14:solidFill>
          </w14:textFill>
        </w:rPr>
        <w:t>说明书</w:t>
      </w:r>
      <w:r>
        <w:rPr>
          <w:rFonts w:eastAsia="仿宋_GB2312"/>
          <w:color w:val="000000" w:themeColor="text1"/>
          <w:kern w:val="0"/>
          <w:sz w:val="32"/>
          <w:szCs w:val="32"/>
          <w:highlight w:val="none"/>
          <w14:textFill>
            <w14:solidFill>
              <w14:schemeClr w14:val="tx1"/>
            </w14:solidFill>
          </w14:textFill>
        </w:rPr>
        <w:t>”。</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（3）设备电磁兼容的相关信息。应给出设备电磁兼容信息的相关说明及工作环境。</w:t>
      </w:r>
    </w:p>
    <w:p>
      <w:pPr>
        <w:spacing w:line="520" w:lineRule="exact"/>
        <w:ind w:firstLine="640" w:firstLineChars="200"/>
        <w:jc w:val="left"/>
        <w:outlineLvl w:val="1"/>
        <w:rPr>
          <w:rFonts w:ascii="Times New Roman" w:hAnsi="Times New Roman" w:eastAsia="楷体_GB2312"/>
          <w:color w:val="000000"/>
          <w:sz w:val="32"/>
          <w:szCs w:val="32"/>
        </w:rPr>
      </w:pPr>
      <w:r>
        <w:rPr>
          <w:rFonts w:ascii="Times New Roman" w:hAnsi="Times New Roman" w:eastAsia="楷体_GB2312"/>
          <w:color w:val="000000"/>
          <w:sz w:val="32"/>
          <w:szCs w:val="32"/>
        </w:rPr>
        <w:t>（六）质量管理体系文件</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产品的质量管理体系文件应符合《医疗器械生产质量管理规范》的要求，并按《医疗器械注册申报资料要求及说明》提交资料。</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应明确产品生产工艺过程，可采用流程图的形式，并说明其过程控制点，且应结合产品实际生产过程细化产品生产工艺介绍，应能体现出外协加工部分（如有）、半成品加工过程，工艺流程图中应明示关键工序、特殊过程（如有）、过程控制点、各生产检验工序对环境的要求、使用的相关设备及对设备精度的要求等相关信息。</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 xml:space="preserve">应详细介绍研制场地、生产场地情况，并应结合前面介绍的产品加工工艺，以及工序和工位的划分、预计产量、生产线划分等实际需求细化研发、生产、检验、库房场地面积、环境控制等相关情况说明。 </w:t>
      </w:r>
    </w:p>
    <w:p>
      <w:pPr>
        <w:spacing w:line="520" w:lineRule="exact"/>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若产品有多个研制、生产场地，应概述每个研制、生产场地的实际情况。</w:t>
      </w:r>
    </w:p>
    <w:p>
      <w:pPr>
        <w:pStyle w:val="15"/>
        <w:spacing w:line="336" w:lineRule="auto"/>
        <w:ind w:firstLine="640" w:firstLineChars="200"/>
        <w:rPr>
          <w:rFonts w:ascii="Times New Roman" w:hAnsi="Times New Roman" w:eastAsia="黑体" w:cs="仿宋_GB2312"/>
          <w:snapToGrid w:val="0"/>
          <w:color w:val="000000" w:themeColor="text1"/>
          <w:sz w:val="32"/>
          <w:szCs w:val="32"/>
          <w:highlight w:val="none"/>
          <w14:textFill>
            <w14:solidFill>
              <w14:schemeClr w14:val="tx1"/>
            </w14:solidFill>
          </w14:textFill>
        </w:rPr>
      </w:pPr>
      <w:r>
        <w:rPr>
          <w:rFonts w:ascii="Times New Roman" w:hAnsi="Times New Roman" w:eastAsia="黑体" w:cs="仿宋_GB2312"/>
          <w:snapToGrid w:val="0"/>
          <w:color w:val="000000" w:themeColor="text1"/>
          <w:sz w:val="32"/>
          <w:szCs w:val="32"/>
          <w:highlight w:val="none"/>
          <w14:textFill>
            <w14:solidFill>
              <w14:schemeClr w14:val="tx1"/>
            </w14:solidFill>
          </w14:textFill>
        </w:rPr>
        <w:t>三、参考文献</w:t>
      </w:r>
      <w:bookmarkStart w:id="6" w:name="_GoBack"/>
      <w:bookmarkEnd w:id="6"/>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bookmarkStart w:id="2" w:name="_Ref455122128"/>
      <w:r>
        <w:rPr>
          <w:rFonts w:eastAsia="仿宋_GB2312"/>
          <w:snapToGrid w:val="0"/>
          <w:color w:val="000000" w:themeColor="text1"/>
          <w:kern w:val="0"/>
          <w:sz w:val="32"/>
          <w:szCs w:val="32"/>
          <w:highlight w:val="none"/>
          <w14:textFill>
            <w14:solidFill>
              <w14:schemeClr w14:val="tx1"/>
            </w14:solidFill>
          </w14:textFill>
        </w:rPr>
        <w:t>[1]</w:t>
      </w:r>
      <w:bookmarkEnd w:id="2"/>
      <w:bookmarkStart w:id="3" w:name="_Ref455122141"/>
      <w:r>
        <w:rPr>
          <w:rFonts w:eastAsia="仿宋_GB2312"/>
          <w:snapToGrid w:val="0"/>
          <w:color w:val="000000" w:themeColor="text1"/>
          <w:kern w:val="0"/>
          <w:sz w:val="32"/>
          <w:szCs w:val="32"/>
          <w:highlight w:val="none"/>
          <w14:textFill>
            <w14:solidFill>
              <w14:schemeClr w14:val="tx1"/>
            </w14:solidFill>
          </w14:textFill>
        </w:rPr>
        <w:t>中华人民共和国国务院.医疗器械监督管理条例:中华人民共和国国务院令第739号[Z].</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[2]</w:t>
      </w:r>
      <w:bookmarkEnd w:id="3"/>
      <w:r>
        <w:rPr>
          <w:rFonts w:eastAsia="仿宋_GB2312"/>
          <w:snapToGrid w:val="0"/>
          <w:color w:val="000000" w:themeColor="text1"/>
          <w:kern w:val="0"/>
          <w:sz w:val="32"/>
          <w:szCs w:val="32"/>
          <w:highlight w:val="none"/>
          <w14:textFill>
            <w14:solidFill>
              <w14:schemeClr w14:val="tx1"/>
            </w14:solidFill>
          </w14:textFill>
        </w:rPr>
        <w:t>国家市场监督管理总局.医疗器械注册与备案管理办法:国家市场监督管理总局令第47号[Z].</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[3]国家食品药品监督管理局.医疗器械说明书和标签管理规定:国家食品药品监督管理总局令第6号[Z].</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[4]</w:t>
      </w:r>
      <w:bookmarkStart w:id="4" w:name="_Ref455123912"/>
      <w:r>
        <w:rPr>
          <w:rFonts w:eastAsia="仿宋_GB2312"/>
          <w:snapToGrid w:val="0"/>
          <w:color w:val="000000" w:themeColor="text1"/>
          <w:kern w:val="0"/>
          <w:sz w:val="32"/>
          <w:szCs w:val="32"/>
          <w:highlight w:val="none"/>
          <w14:textFill>
            <w14:solidFill>
              <w14:schemeClr w14:val="tx1"/>
            </w14:solidFill>
          </w14:textFill>
        </w:rPr>
        <w:t>国家食品药品监督管理局.医疗器械分类规则:国家食品药品监督管理总局令第15号[Z].</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[5]</w:t>
      </w:r>
      <w:bookmarkEnd w:id="4"/>
      <w:r>
        <w:rPr>
          <w:rFonts w:eastAsia="仿宋_GB2312"/>
          <w:snapToGrid w:val="0"/>
          <w:color w:val="000000" w:themeColor="text1"/>
          <w:kern w:val="0"/>
          <w:sz w:val="32"/>
          <w:szCs w:val="32"/>
          <w:highlight w:val="none"/>
          <w14:textFill>
            <w14:solidFill>
              <w14:schemeClr w14:val="tx1"/>
            </w14:solidFill>
          </w14:textFill>
        </w:rPr>
        <w:t>国家食品药品监督管理局.医疗器械通用名称命名规则：国家食品药品监督管理总局令第19号[Z].</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[6]国家药品监督管理局.中医器械通用名称命名指导原则:国家药监局关于发布医用康复器械通用名称命名指导原则等6项指导原则的通告2021年第48号[Z].</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[7]国家食品药品监督管理局.医疗器械分类目录:国家食品药品监督管理总局关于发布医疗器械分类目录的公告2017年第104号[Z].</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[8]国家食品药品监督管理局.医疗器械注册单元划分指导原则:总局关于发布医疗器械注册单元划分指导原则的通告2017年第187号[Z].</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[9]国家药品监督管理局.有源医疗器械使用期限注册技术审查指导原则:国家药品监督管理局关于发布有源医疗器械使用期限注册技术审查指导原则的通告2019年第23号[Z].</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[10]国家药品监督管理局医疗器械审评中心.医疗器械软件注册审查指导原则（2022年修订版）:国家药监局器审中心关于发布医疗器械软件注册审查指导原则（2022年修订版）的通告2022年第9号[Z].</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[11]国家药品监督管理局.医疗器械临床评价技术指导原则:国家药监局关于发布医疗器械临床评价技术指导原则等5项技术指导原则的通告2021年第73号[Z].</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[12]国家食品药品监督管理局.医疗器械生物学评价和审查指南:关于印发医疗器械生物学评价和审查指南的通知2007年345号[Z].</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[13]国家药品监督管理局.医疗器械产品技术要求编写指导原则:国家药监局关于发布医疗器械产品技术要求编写指导原则的通告2022年第8号[Z].</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[14]</w:t>
      </w:r>
      <w:bookmarkStart w:id="5" w:name="_Ref455127285"/>
      <w:r>
        <w:rPr>
          <w:rFonts w:eastAsia="仿宋_GB2312"/>
          <w:snapToGrid w:val="0"/>
          <w:color w:val="000000" w:themeColor="text1"/>
          <w:kern w:val="0"/>
          <w:sz w:val="32"/>
          <w:szCs w:val="32"/>
          <w:highlight w:val="none"/>
          <w14:textFill>
            <w14:solidFill>
              <w14:schemeClr w14:val="tx1"/>
            </w14:solidFill>
          </w14:textFill>
        </w:rPr>
        <w:t>国家药品监督管理局:医疗器械注册申报资料要求和批准证明文件格式:关于公布医疗器械注册申报资料要求和批准证明文件格式的公告2021年第121号[Z].</w:t>
      </w:r>
      <w:bookmarkEnd w:id="5"/>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[15] GB 9706.1,医用电气设备 第1部分：基本安全和基本性能的通用要求[S].</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[16]YY 9706.102,医用电气设备　第1-2部分：基本安全和基本性能的通用要求　并列标准：电磁兼容要求和试验[S].</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[17]YY/T 0466.1,医疗器械用于医疗器械标签、标记和提供信息的符号第1部分：通用要求[S].</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[18]YY/T 1489 中医脉图采集设备.</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[19]YY/T 0316,医疗器械风险管理对医疗器械的应用[S].</w:t>
      </w:r>
    </w:p>
    <w:p>
      <w:pPr>
        <w:spacing w:line="520" w:lineRule="exact"/>
        <w:ind w:firstLine="640" w:firstLineChars="200"/>
        <w:rPr>
          <w:rFonts w:eastAsia="仿宋_GB2312"/>
          <w:snapToGrid w:val="0"/>
          <w:color w:val="000000" w:themeColor="text1"/>
          <w:kern w:val="0"/>
          <w:sz w:val="32"/>
          <w:szCs w:val="32"/>
          <w:highlight w:val="none"/>
          <w14:textFill>
            <w14:solidFill>
              <w14:schemeClr w14:val="tx1"/>
            </w14:solidFill>
          </w14:textFill>
        </w:rPr>
      </w:pPr>
      <w:r>
        <w:rPr>
          <w:rFonts w:eastAsia="仿宋_GB2312"/>
          <w:snapToGrid w:val="0"/>
          <w:color w:val="000000" w:themeColor="text1"/>
          <w:kern w:val="0"/>
          <w:sz w:val="32"/>
          <w:szCs w:val="32"/>
          <w:highlight w:val="none"/>
          <w14:textFill>
            <w14:solidFill>
              <w14:schemeClr w14:val="tx1"/>
            </w14:solidFill>
          </w14:textFill>
        </w:rPr>
        <w:t>[20]WS/T367,医疗机构消毒技术规范[S].</w:t>
      </w: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65E26E-72AA-421D-84EE-6875B096E6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7970A274-8965-49CD-9C55-3CD24829A9DB}"/>
  </w:font>
  <w:font w:name="仿宋_GB2312">
    <w:panose1 w:val="02010609030101010101"/>
    <w:charset w:val="86"/>
    <w:family w:val="modern"/>
    <w:pitch w:val="default"/>
    <w:sig w:usb0="00000001" w:usb1="080E0000" w:usb2="00000000" w:usb3="00000000" w:csb0="00040000" w:csb1="00000000"/>
    <w:embedRegular r:id="rId3" w:fontKey="{845A0017-888B-4F2D-867D-6E568D8FA2F2}"/>
  </w:font>
  <w:font w:name="楷体_GB2312">
    <w:altName w:val="楷体"/>
    <w:panose1 w:val="00000000000000000000"/>
    <w:charset w:val="86"/>
    <w:family w:val="modern"/>
    <w:pitch w:val="default"/>
    <w:sig w:usb0="00000000" w:usb1="00000000" w:usb2="00000000" w:usb3="00000000" w:csb0="00040000" w:csb1="00000000"/>
    <w:embedRegular r:id="rId4" w:fontKey="{21F0B614-B6C4-4067-93A9-BC792BF9DDDA}"/>
  </w:font>
  <w:font w:name="微软雅黑">
    <w:panose1 w:val="020B0503020204020204"/>
    <w:charset w:val="86"/>
    <w:family w:val="auto"/>
    <w:pitch w:val="default"/>
    <w:sig w:usb0="80000287" w:usb1="2ACF3C50" w:usb2="00000016" w:usb3="00000000" w:csb0="0004001F"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0000012" w:usb3="00000000" w:csb0="0002009F" w:csb1="00000000"/>
  </w:font>
  <w:font w:name="方正小标宋简体">
    <w:panose1 w:val="03000509000000000000"/>
    <w:charset w:val="86"/>
    <w:family w:val="script"/>
    <w:pitch w:val="default"/>
    <w:sig w:usb0="00000001" w:usb1="080E0000" w:usb2="00000000" w:usb3="00000000" w:csb0="00040000" w:csb1="00000000"/>
    <w:embedRegular r:id="rId5" w:fontKey="{878AB919-6222-40EB-A1D7-C5FA2D2776CA}"/>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1D9F299B"/>
    <w:rsid w:val="000E129E"/>
    <w:rsid w:val="001C64BA"/>
    <w:rsid w:val="00286C48"/>
    <w:rsid w:val="003A44E2"/>
    <w:rsid w:val="004D7444"/>
    <w:rsid w:val="005C39D8"/>
    <w:rsid w:val="005C7C6F"/>
    <w:rsid w:val="005F2410"/>
    <w:rsid w:val="00801FD0"/>
    <w:rsid w:val="00816207"/>
    <w:rsid w:val="00846031"/>
    <w:rsid w:val="008F0D28"/>
    <w:rsid w:val="0099597F"/>
    <w:rsid w:val="009A11E8"/>
    <w:rsid w:val="009E5A1C"/>
    <w:rsid w:val="00A57255"/>
    <w:rsid w:val="00CE2F48"/>
    <w:rsid w:val="00D50AB2"/>
    <w:rsid w:val="00EC6086"/>
    <w:rsid w:val="024A6433"/>
    <w:rsid w:val="05B55953"/>
    <w:rsid w:val="07510C64"/>
    <w:rsid w:val="081E68F9"/>
    <w:rsid w:val="0874350A"/>
    <w:rsid w:val="0A5B4F11"/>
    <w:rsid w:val="0AEE6ECB"/>
    <w:rsid w:val="0FED1D23"/>
    <w:rsid w:val="14BD6892"/>
    <w:rsid w:val="16127649"/>
    <w:rsid w:val="184C7B00"/>
    <w:rsid w:val="1D9F299B"/>
    <w:rsid w:val="1E8C6387"/>
    <w:rsid w:val="1EFE35E0"/>
    <w:rsid w:val="20361E67"/>
    <w:rsid w:val="213E48A6"/>
    <w:rsid w:val="2402220D"/>
    <w:rsid w:val="24A7216D"/>
    <w:rsid w:val="274E5B8A"/>
    <w:rsid w:val="2A375015"/>
    <w:rsid w:val="2B91657D"/>
    <w:rsid w:val="2E2C723F"/>
    <w:rsid w:val="2E5845FC"/>
    <w:rsid w:val="31524906"/>
    <w:rsid w:val="34C24459"/>
    <w:rsid w:val="35142EB6"/>
    <w:rsid w:val="3AA2676F"/>
    <w:rsid w:val="3C1732DC"/>
    <w:rsid w:val="3C406F5B"/>
    <w:rsid w:val="3D4C5207"/>
    <w:rsid w:val="3D575907"/>
    <w:rsid w:val="3DC72AE0"/>
    <w:rsid w:val="3F0D6C10"/>
    <w:rsid w:val="40335590"/>
    <w:rsid w:val="403C7A32"/>
    <w:rsid w:val="434B7666"/>
    <w:rsid w:val="44EA5D69"/>
    <w:rsid w:val="458A0FC3"/>
    <w:rsid w:val="481F7DC5"/>
    <w:rsid w:val="49170DBF"/>
    <w:rsid w:val="49ED44FE"/>
    <w:rsid w:val="4E9D0C28"/>
    <w:rsid w:val="502C2472"/>
    <w:rsid w:val="510D1740"/>
    <w:rsid w:val="51570BB1"/>
    <w:rsid w:val="529A0D8A"/>
    <w:rsid w:val="54CC2D3C"/>
    <w:rsid w:val="58E00DE3"/>
    <w:rsid w:val="59C90CFD"/>
    <w:rsid w:val="5B2E446D"/>
    <w:rsid w:val="5C660FA0"/>
    <w:rsid w:val="60343BAD"/>
    <w:rsid w:val="6161526B"/>
    <w:rsid w:val="63D71333"/>
    <w:rsid w:val="64532EDD"/>
    <w:rsid w:val="669E08B3"/>
    <w:rsid w:val="672D2877"/>
    <w:rsid w:val="6EB06AA6"/>
    <w:rsid w:val="705F68E8"/>
    <w:rsid w:val="721B050A"/>
    <w:rsid w:val="788B1D6B"/>
    <w:rsid w:val="7BBC2F7D"/>
    <w:rsid w:val="7F3774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40" w:after="140" w:line="520" w:lineRule="exact"/>
      <w:ind w:firstLine="200" w:firstLineChars="200"/>
      <w:contextualSpacing/>
      <w:jc w:val="left"/>
      <w:outlineLvl w:val="1"/>
    </w:pPr>
    <w:rPr>
      <w:rFonts w:ascii="Arial" w:hAnsi="Arial" w:eastAsia="楷体"/>
      <w:bCs/>
      <w:sz w:val="28"/>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ody Text Indent 2"/>
    <w:basedOn w:val="1"/>
    <w:qFormat/>
    <w:uiPriority w:val="0"/>
    <w:pPr>
      <w:spacing w:after="120" w:line="480" w:lineRule="auto"/>
      <w:ind w:left="420" w:leftChars="200"/>
    </w:pPr>
  </w:style>
  <w:style w:type="paragraph" w:styleId="6">
    <w:name w:val="Balloon Text"/>
    <w:basedOn w:val="1"/>
    <w:link w:val="21"/>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qFormat/>
    <w:uiPriority w:val="0"/>
    <w:rPr>
      <w:b/>
      <w:bCs/>
    </w:rPr>
  </w:style>
  <w:style w:type="character" w:styleId="12">
    <w:name w:val="annotation reference"/>
    <w:basedOn w:val="11"/>
    <w:qFormat/>
    <w:uiPriority w:val="0"/>
    <w:rPr>
      <w:sz w:val="21"/>
      <w:szCs w:val="21"/>
    </w:rPr>
  </w:style>
  <w:style w:type="character" w:customStyle="1" w:styleId="13">
    <w:name w:val="f101"/>
    <w:qFormat/>
    <w:uiPriority w:val="0"/>
    <w:rPr>
      <w:sz w:val="24"/>
      <w:szCs w:val="24"/>
    </w:rPr>
  </w:style>
  <w:style w:type="paragraph" w:styleId="14">
    <w:name w:val="List Paragraph"/>
    <w:basedOn w:val="1"/>
    <w:qFormat/>
    <w:uiPriority w:val="99"/>
    <w:pPr>
      <w:ind w:firstLine="420" w:firstLineChars="200"/>
    </w:pPr>
    <w:rPr>
      <w:rFonts w:ascii="Calibri" w:hAnsi="Calibri"/>
      <w:szCs w:val="22"/>
    </w:rPr>
  </w:style>
  <w:style w:type="paragraph" w:styleId="15">
    <w:name w:val="No Spacing"/>
    <w:qFormat/>
    <w:uiPriority w:val="1"/>
    <w:pPr>
      <w:jc w:val="both"/>
    </w:pPr>
    <w:rPr>
      <w:rFonts w:ascii="Arial" w:hAnsi="Arial" w:eastAsia="宋体" w:cs="Arial"/>
      <w:sz w:val="18"/>
      <w:szCs w:val="18"/>
      <w:lang w:val="en-US" w:eastAsia="zh-CN" w:bidi="ar-SA"/>
    </w:rPr>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paragraph" w:customStyle="1" w:styleId="17">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8">
    <w:name w:val="页眉 Char"/>
    <w:basedOn w:val="11"/>
    <w:link w:val="8"/>
    <w:qFormat/>
    <w:uiPriority w:val="0"/>
    <w:rPr>
      <w:kern w:val="2"/>
      <w:sz w:val="18"/>
      <w:szCs w:val="18"/>
    </w:rPr>
  </w:style>
  <w:style w:type="character" w:customStyle="1" w:styleId="19">
    <w:name w:val="批注文字 Char"/>
    <w:basedOn w:val="11"/>
    <w:link w:val="4"/>
    <w:qFormat/>
    <w:uiPriority w:val="0"/>
    <w:rPr>
      <w:kern w:val="2"/>
      <w:sz w:val="21"/>
      <w:szCs w:val="24"/>
    </w:rPr>
  </w:style>
  <w:style w:type="character" w:customStyle="1" w:styleId="20">
    <w:name w:val="批注主题 Char"/>
    <w:basedOn w:val="19"/>
    <w:link w:val="9"/>
    <w:qFormat/>
    <w:uiPriority w:val="0"/>
    <w:rPr>
      <w:b/>
      <w:bCs/>
    </w:rPr>
  </w:style>
  <w:style w:type="character" w:customStyle="1" w:styleId="21">
    <w:name w:val="批注框文本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8008</Words>
  <Characters>8424</Characters>
  <Lines>69</Lines>
  <Paragraphs>19</Paragraphs>
  <TotalTime>6</TotalTime>
  <ScaleCrop>false</ScaleCrop>
  <LinksUpToDate>false</LinksUpToDate>
  <CharactersWithSpaces>8467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2023-10-11T07:39:00Z</dcterms:created>
  <dc:creator>Medvalley</dc:creator>
  <cp:lastModifiedBy>何佳俊</cp:lastModifiedBy>
  <dcterms:modified xsi:type="dcterms:W3CDTF">2023-10-20T08:04:04Z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FD05B6BFD44C4FE5B9ED0741A4D507DA_13</vt:lpwstr>
  </property>
</Properties>
</file>