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BE5" w:rsidRPr="002F1680" w:rsidRDefault="00B43BE5" w:rsidP="00B43BE5">
      <w:pPr>
        <w:spacing w:line="520" w:lineRule="exact"/>
        <w:jc w:val="left"/>
        <w:rPr>
          <w:rFonts w:ascii="黑体" w:eastAsia="黑体" w:hAnsi="黑体"/>
          <w:sz w:val="32"/>
          <w:szCs w:val="32"/>
        </w:rPr>
      </w:pPr>
      <w:r w:rsidRPr="002F1680">
        <w:rPr>
          <w:rFonts w:ascii="黑体" w:eastAsia="黑体" w:hAnsi="黑体"/>
          <w:sz w:val="32"/>
          <w:szCs w:val="32"/>
        </w:rPr>
        <w:t>附件5</w:t>
      </w:r>
    </w:p>
    <w:p w:rsidR="00B43BE5" w:rsidRPr="002F1680" w:rsidRDefault="00B43BE5" w:rsidP="00B43BE5">
      <w:pPr>
        <w:spacing w:line="520" w:lineRule="exact"/>
        <w:jc w:val="left"/>
        <w:rPr>
          <w:rFonts w:eastAsia="黑体"/>
          <w:sz w:val="32"/>
          <w:szCs w:val="32"/>
        </w:rPr>
      </w:pPr>
    </w:p>
    <w:p w:rsidR="00B43BE5" w:rsidRPr="002F1680" w:rsidRDefault="00B43BE5" w:rsidP="00B43BE5">
      <w:pPr>
        <w:spacing w:line="520" w:lineRule="exact"/>
        <w:ind w:rightChars="116" w:right="244"/>
        <w:jc w:val="center"/>
        <w:rPr>
          <w:rFonts w:eastAsia="方正小标宋简体"/>
          <w:sz w:val="44"/>
          <w:szCs w:val="44"/>
        </w:rPr>
      </w:pPr>
      <w:r w:rsidRPr="002F1680">
        <w:rPr>
          <w:rFonts w:eastAsia="方正小标宋简体"/>
          <w:sz w:val="44"/>
          <w:szCs w:val="44"/>
        </w:rPr>
        <w:t>缺血修饰白蛋白测定试剂盒</w:t>
      </w:r>
    </w:p>
    <w:p w:rsidR="00B43BE5" w:rsidRPr="002F1680" w:rsidRDefault="00B43BE5" w:rsidP="00B43BE5">
      <w:pPr>
        <w:spacing w:line="520" w:lineRule="exact"/>
        <w:ind w:rightChars="-21" w:right="-44"/>
        <w:jc w:val="center"/>
        <w:rPr>
          <w:rFonts w:eastAsia="方正小标宋简体"/>
          <w:sz w:val="44"/>
          <w:szCs w:val="44"/>
        </w:rPr>
      </w:pPr>
      <w:r w:rsidRPr="002F1680">
        <w:rPr>
          <w:rFonts w:eastAsia="方正小标宋简体"/>
          <w:sz w:val="44"/>
          <w:szCs w:val="44"/>
        </w:rPr>
        <w:t>注册技术审查指导原则</w:t>
      </w:r>
    </w:p>
    <w:p w:rsidR="00B43BE5" w:rsidRPr="002F1680" w:rsidRDefault="00B43BE5" w:rsidP="00B43BE5">
      <w:pPr>
        <w:spacing w:line="520" w:lineRule="exact"/>
        <w:ind w:rightChars="116" w:right="244"/>
        <w:jc w:val="center"/>
        <w:rPr>
          <w:rFonts w:eastAsia="楷体_GB2312"/>
          <w:sz w:val="32"/>
          <w:szCs w:val="32"/>
        </w:rPr>
      </w:pPr>
      <w:r w:rsidRPr="002F1680">
        <w:rPr>
          <w:rFonts w:eastAsia="楷体_GB2312"/>
          <w:sz w:val="32"/>
          <w:szCs w:val="32"/>
        </w:rPr>
        <w:t>（</w:t>
      </w:r>
      <w:r w:rsidRPr="002F1680">
        <w:rPr>
          <w:rFonts w:eastAsia="楷体_GB2312"/>
          <w:sz w:val="32"/>
          <w:szCs w:val="32"/>
        </w:rPr>
        <w:t>2016</w:t>
      </w:r>
      <w:r w:rsidRPr="002F1680">
        <w:rPr>
          <w:rFonts w:eastAsia="楷体_GB2312"/>
          <w:sz w:val="32"/>
          <w:szCs w:val="32"/>
        </w:rPr>
        <w:t>年修订版）</w:t>
      </w:r>
    </w:p>
    <w:p w:rsidR="00B43BE5" w:rsidRPr="002F1680" w:rsidRDefault="00B43BE5" w:rsidP="00B43BE5">
      <w:pPr>
        <w:spacing w:line="520" w:lineRule="exact"/>
        <w:ind w:rightChars="116" w:right="244"/>
        <w:jc w:val="center"/>
        <w:rPr>
          <w:rFonts w:eastAsia="方正小标宋简体"/>
          <w:sz w:val="44"/>
          <w:szCs w:val="44"/>
        </w:rPr>
      </w:pPr>
    </w:p>
    <w:p w:rsidR="00B43BE5" w:rsidRPr="00E155AD" w:rsidRDefault="00B43BE5" w:rsidP="00B43BE5">
      <w:pPr>
        <w:spacing w:line="580" w:lineRule="exact"/>
        <w:ind w:firstLine="640"/>
        <w:rPr>
          <w:rFonts w:eastAsia="仿宋_GB2312"/>
          <w:kern w:val="0"/>
          <w:sz w:val="32"/>
          <w:szCs w:val="32"/>
        </w:rPr>
      </w:pPr>
      <w:r w:rsidRPr="00E155AD">
        <w:rPr>
          <w:rFonts w:eastAsia="仿宋_GB2312"/>
          <w:kern w:val="0"/>
          <w:sz w:val="32"/>
          <w:szCs w:val="32"/>
        </w:rPr>
        <w:t>本指导原则旨在指导注册申请人对</w:t>
      </w:r>
      <w:r w:rsidRPr="00E155AD">
        <w:rPr>
          <w:rFonts w:eastAsia="仿宋_GB2312"/>
          <w:sz w:val="32"/>
          <w:szCs w:val="32"/>
        </w:rPr>
        <w:t>缺血修饰白蛋白测定试剂盒</w:t>
      </w:r>
      <w:r w:rsidRPr="00E155AD">
        <w:rPr>
          <w:rFonts w:eastAsia="仿宋_GB2312"/>
          <w:kern w:val="0"/>
          <w:sz w:val="32"/>
          <w:szCs w:val="32"/>
        </w:rPr>
        <w:t>注册申报资料的准备及撰写，同时也为技术审评部门审评注册申报资料提供参考。</w:t>
      </w:r>
    </w:p>
    <w:p w:rsidR="00B43BE5" w:rsidRPr="00E155AD" w:rsidRDefault="00B43BE5" w:rsidP="00B43BE5">
      <w:pPr>
        <w:spacing w:line="580" w:lineRule="exact"/>
        <w:ind w:firstLine="640"/>
        <w:rPr>
          <w:rFonts w:eastAsia="仿宋_GB2312"/>
          <w:kern w:val="0"/>
          <w:sz w:val="32"/>
          <w:szCs w:val="32"/>
        </w:rPr>
      </w:pPr>
      <w:r w:rsidRPr="00E155AD">
        <w:rPr>
          <w:rFonts w:eastAsia="仿宋_GB2312"/>
          <w:kern w:val="0"/>
          <w:sz w:val="32"/>
          <w:szCs w:val="32"/>
        </w:rPr>
        <w:t>本指导原则是对</w:t>
      </w:r>
      <w:r w:rsidRPr="00E155AD">
        <w:rPr>
          <w:rFonts w:eastAsia="仿宋_GB2312"/>
          <w:sz w:val="32"/>
          <w:szCs w:val="32"/>
        </w:rPr>
        <w:t>缺血修饰白蛋白测定试剂盒</w:t>
      </w:r>
      <w:r w:rsidRPr="00E155AD">
        <w:rPr>
          <w:rFonts w:eastAsia="仿宋_GB2312"/>
          <w:kern w:val="0"/>
          <w:sz w:val="32"/>
          <w:szCs w:val="32"/>
        </w:rPr>
        <w:t>的一般要求，申请人应依据产品的具体特性确定其中内容是否适用，若不适用，需具体阐述理由及相应的科学依据，并依据产品的具体特性对注册申报资料的内容进行充实和细化。</w:t>
      </w:r>
    </w:p>
    <w:p w:rsidR="00B43BE5" w:rsidRPr="00E155AD" w:rsidRDefault="00B43BE5" w:rsidP="00B43BE5">
      <w:pPr>
        <w:spacing w:line="580" w:lineRule="exact"/>
        <w:ind w:firstLine="640"/>
        <w:rPr>
          <w:rFonts w:eastAsia="仿宋_GB2312"/>
          <w:kern w:val="0"/>
          <w:sz w:val="32"/>
          <w:szCs w:val="32"/>
        </w:rPr>
      </w:pPr>
      <w:r w:rsidRPr="00E155AD">
        <w:rPr>
          <w:rFonts w:eastAsia="仿宋_GB2312"/>
          <w:kern w:val="0"/>
          <w:sz w:val="32"/>
          <w:szCs w:val="32"/>
        </w:rPr>
        <w:t>本指导原则是供申请人和审查人员使用的指导文件，不涉及注册审批等行政事项，亦不作为法规强制执行，如有能够满足法规要求的其他方法，也可以采用，但应提供详细的研究资料和验证资料。应在遵循相关法规的前提下使用本指导原则。</w:t>
      </w:r>
    </w:p>
    <w:p w:rsidR="00B43BE5" w:rsidRPr="00E155AD" w:rsidRDefault="00B43BE5" w:rsidP="00B43BE5">
      <w:pPr>
        <w:spacing w:line="580" w:lineRule="exact"/>
        <w:ind w:firstLine="640"/>
        <w:rPr>
          <w:rFonts w:eastAsia="仿宋_GB2312"/>
          <w:kern w:val="0"/>
          <w:sz w:val="32"/>
          <w:szCs w:val="32"/>
        </w:rPr>
      </w:pPr>
      <w:r w:rsidRPr="00E155AD">
        <w:rPr>
          <w:rFonts w:eastAsia="仿宋_GB2312"/>
          <w:kern w:val="0"/>
          <w:sz w:val="32"/>
          <w:szCs w:val="32"/>
        </w:rPr>
        <w:t>本指导原则是在现行法规、标准体系及当前认知水平下制定的，随着法规、标准体系的不断完善和科学技术的不断发展，本指导原则相关内容也将适时进行调整。</w:t>
      </w:r>
    </w:p>
    <w:p w:rsidR="00B43BE5" w:rsidRPr="002F1680" w:rsidRDefault="00B43BE5" w:rsidP="00B43BE5">
      <w:pPr>
        <w:spacing w:line="520" w:lineRule="exact"/>
        <w:ind w:firstLine="640"/>
        <w:rPr>
          <w:rFonts w:eastAsia="黑体"/>
          <w:bCs/>
          <w:color w:val="000000"/>
          <w:sz w:val="32"/>
          <w:szCs w:val="30"/>
        </w:rPr>
      </w:pPr>
      <w:r w:rsidRPr="002F1680">
        <w:rPr>
          <w:rFonts w:eastAsia="黑体"/>
          <w:bCs/>
          <w:color w:val="000000"/>
          <w:sz w:val="32"/>
          <w:szCs w:val="30"/>
        </w:rPr>
        <w:t>一、适用范围</w:t>
      </w:r>
    </w:p>
    <w:p w:rsidR="00B43BE5" w:rsidRPr="00E155AD" w:rsidRDefault="00B43BE5" w:rsidP="00B43BE5">
      <w:pPr>
        <w:spacing w:line="580" w:lineRule="exact"/>
        <w:ind w:firstLine="640"/>
        <w:rPr>
          <w:rFonts w:eastAsia="仿宋_GB2312"/>
          <w:kern w:val="0"/>
          <w:sz w:val="32"/>
          <w:szCs w:val="32"/>
        </w:rPr>
      </w:pPr>
      <w:r w:rsidRPr="00E155AD">
        <w:rPr>
          <w:rFonts w:eastAsia="仿宋_GB2312"/>
          <w:kern w:val="0"/>
          <w:sz w:val="32"/>
          <w:szCs w:val="32"/>
        </w:rPr>
        <w:t>本指导原则主要针对利用白蛋白钴结合试验（</w:t>
      </w:r>
      <w:r w:rsidRPr="00E155AD">
        <w:rPr>
          <w:rFonts w:eastAsia="仿宋_GB2312"/>
          <w:kern w:val="0"/>
          <w:sz w:val="32"/>
          <w:szCs w:val="32"/>
        </w:rPr>
        <w:t xml:space="preserve">Albumin Cobalt Binding Test, </w:t>
      </w:r>
      <w:r w:rsidRPr="00E155AD">
        <w:rPr>
          <w:rFonts w:eastAsia="仿宋_GB2312"/>
          <w:kern w:val="0"/>
          <w:sz w:val="32"/>
          <w:szCs w:val="32"/>
        </w:rPr>
        <w:t>简称</w:t>
      </w:r>
      <w:r w:rsidRPr="00E155AD">
        <w:rPr>
          <w:rFonts w:eastAsia="仿宋_GB2312"/>
          <w:kern w:val="0"/>
          <w:sz w:val="32"/>
          <w:szCs w:val="32"/>
        </w:rPr>
        <w:t>ACB</w:t>
      </w:r>
      <w:r w:rsidRPr="00E155AD">
        <w:rPr>
          <w:rFonts w:eastAsia="仿宋_GB2312"/>
          <w:kern w:val="0"/>
          <w:sz w:val="32"/>
          <w:szCs w:val="32"/>
        </w:rPr>
        <w:t>法</w:t>
      </w:r>
      <w:r w:rsidRPr="00E155AD">
        <w:rPr>
          <w:rFonts w:eastAsia="仿宋_GB2312"/>
          <w:kern w:val="0"/>
          <w:sz w:val="32"/>
          <w:szCs w:val="32"/>
        </w:rPr>
        <w:t>)</w:t>
      </w:r>
      <w:r w:rsidRPr="00E155AD">
        <w:rPr>
          <w:rFonts w:eastAsia="仿宋_GB2312"/>
          <w:kern w:val="0"/>
          <w:sz w:val="32"/>
          <w:szCs w:val="32"/>
        </w:rPr>
        <w:t>间接测算结果的试剂，从方法</w:t>
      </w:r>
      <w:r w:rsidRPr="00E155AD">
        <w:rPr>
          <w:rFonts w:eastAsia="仿宋_GB2312"/>
          <w:kern w:val="0"/>
          <w:sz w:val="32"/>
          <w:szCs w:val="32"/>
        </w:rPr>
        <w:lastRenderedPageBreak/>
        <w:t>学考虑，本文主要指采用比色法，利用全自动、半自动生化分析仪或分光光度计，在医学实验室对人体血清中缺血修饰白蛋白进行定量检测的试剂。基于其他方法学的缺血修饰白蛋白测定试剂可参照本指导原则，但应根据产品的具体特性确定其中内容是否适用，若不适用，应另行选择适用自身方法学特性的研究步骤及方法。依据《体外诊断试剂注册管理办法》（国家食品药品监督管理总局令第</w:t>
      </w:r>
      <w:r w:rsidRPr="00E155AD">
        <w:rPr>
          <w:rFonts w:eastAsia="仿宋_GB2312"/>
          <w:kern w:val="0"/>
          <w:sz w:val="32"/>
          <w:szCs w:val="32"/>
        </w:rPr>
        <w:t>5</w:t>
      </w:r>
      <w:r w:rsidRPr="00E155AD">
        <w:rPr>
          <w:rFonts w:eastAsia="仿宋_GB2312"/>
          <w:kern w:val="0"/>
          <w:sz w:val="32"/>
          <w:szCs w:val="32"/>
        </w:rPr>
        <w:t>号）、《食品药品监管总局关于印发体外诊断试剂分类子目录的通知》（食药监械管〔</w:t>
      </w:r>
      <w:r w:rsidRPr="00E155AD">
        <w:rPr>
          <w:rFonts w:eastAsia="仿宋_GB2312"/>
          <w:kern w:val="0"/>
          <w:sz w:val="32"/>
          <w:szCs w:val="32"/>
        </w:rPr>
        <w:t>2013</w:t>
      </w:r>
      <w:r w:rsidRPr="00E155AD">
        <w:rPr>
          <w:rFonts w:eastAsia="仿宋_GB2312"/>
          <w:kern w:val="0"/>
          <w:sz w:val="32"/>
          <w:szCs w:val="32"/>
        </w:rPr>
        <w:t>〕</w:t>
      </w:r>
      <w:r w:rsidRPr="00E155AD">
        <w:rPr>
          <w:rFonts w:eastAsia="仿宋_GB2312"/>
          <w:kern w:val="0"/>
          <w:sz w:val="32"/>
          <w:szCs w:val="32"/>
        </w:rPr>
        <w:t>242</w:t>
      </w:r>
      <w:r w:rsidRPr="00E155AD">
        <w:rPr>
          <w:rFonts w:eastAsia="仿宋_GB2312"/>
          <w:kern w:val="0"/>
          <w:sz w:val="32"/>
          <w:szCs w:val="32"/>
        </w:rPr>
        <w:t>号），缺血修饰白蛋白测定试剂盒管理类别为</w:t>
      </w:r>
      <w:r w:rsidRPr="00E155AD">
        <w:rPr>
          <w:rFonts w:eastAsia="仿宋_GB2312" w:hint="eastAsia"/>
          <w:kern w:val="0"/>
          <w:sz w:val="32"/>
          <w:szCs w:val="32"/>
        </w:rPr>
        <w:t>Ⅱ</w:t>
      </w:r>
      <w:r w:rsidRPr="00E155AD">
        <w:rPr>
          <w:rFonts w:eastAsia="仿宋_GB2312"/>
          <w:kern w:val="0"/>
          <w:sz w:val="32"/>
          <w:szCs w:val="32"/>
        </w:rPr>
        <w:t>类，分类代号为</w:t>
      </w:r>
      <w:r w:rsidRPr="00E155AD">
        <w:rPr>
          <w:rFonts w:eastAsia="仿宋_GB2312"/>
          <w:kern w:val="0"/>
          <w:sz w:val="32"/>
          <w:szCs w:val="32"/>
        </w:rPr>
        <w:t>6840</w:t>
      </w:r>
      <w:r w:rsidRPr="00E155AD">
        <w:rPr>
          <w:rFonts w:eastAsia="仿宋_GB2312"/>
          <w:kern w:val="0"/>
          <w:sz w:val="32"/>
          <w:szCs w:val="32"/>
        </w:rPr>
        <w:t>。</w:t>
      </w:r>
    </w:p>
    <w:p w:rsidR="00B43BE5" w:rsidRPr="002F1680" w:rsidRDefault="00B43BE5" w:rsidP="00B43BE5">
      <w:pPr>
        <w:spacing w:line="520" w:lineRule="exact"/>
        <w:ind w:firstLine="640"/>
        <w:rPr>
          <w:rFonts w:eastAsia="黑体"/>
          <w:bCs/>
          <w:color w:val="000000"/>
          <w:sz w:val="32"/>
          <w:szCs w:val="30"/>
        </w:rPr>
      </w:pPr>
      <w:r w:rsidRPr="002F1680">
        <w:rPr>
          <w:rFonts w:eastAsia="黑体"/>
          <w:bCs/>
          <w:color w:val="000000"/>
          <w:sz w:val="32"/>
          <w:szCs w:val="30"/>
        </w:rPr>
        <w:t>二、注册申报材料要求</w:t>
      </w:r>
    </w:p>
    <w:p w:rsidR="00B43BE5" w:rsidRPr="00E155AD" w:rsidRDefault="00B43BE5" w:rsidP="00B43BE5">
      <w:pPr>
        <w:spacing w:line="520" w:lineRule="exact"/>
        <w:ind w:firstLine="640"/>
        <w:rPr>
          <w:rFonts w:ascii="楷体_GB2312" w:eastAsia="楷体_GB2312" w:hint="eastAsia"/>
          <w:bCs/>
          <w:sz w:val="32"/>
          <w:szCs w:val="30"/>
        </w:rPr>
      </w:pPr>
      <w:r w:rsidRPr="00E155AD">
        <w:rPr>
          <w:rFonts w:ascii="楷体_GB2312" w:eastAsia="楷体_GB2312" w:hint="eastAsia"/>
          <w:bCs/>
          <w:sz w:val="32"/>
          <w:szCs w:val="30"/>
        </w:rPr>
        <w:t>（一）综述资料</w:t>
      </w:r>
    </w:p>
    <w:p w:rsidR="00B43BE5" w:rsidRPr="00E155AD" w:rsidRDefault="00B43BE5" w:rsidP="00B43BE5">
      <w:pPr>
        <w:spacing w:line="580" w:lineRule="exact"/>
        <w:ind w:firstLine="640"/>
        <w:rPr>
          <w:rFonts w:eastAsia="仿宋_GB2312"/>
          <w:kern w:val="0"/>
          <w:sz w:val="32"/>
          <w:szCs w:val="32"/>
        </w:rPr>
      </w:pPr>
      <w:r w:rsidRPr="00E155AD">
        <w:rPr>
          <w:rFonts w:eastAsia="仿宋_GB2312"/>
          <w:kern w:val="0"/>
          <w:sz w:val="32"/>
          <w:szCs w:val="32"/>
        </w:rPr>
        <w:t>综述资料主要包括产品预期用途、产品描述、有关生物安全性的说明、研究结果的总结评价以及同类产品上市情况介绍等内容，应符合《体外诊断试剂注册管理办法》和《关于公布体外诊断试剂注册申报资料基本要求和批准证明文件的公告》（国家食品药品监督管理总局公告</w:t>
      </w:r>
      <w:r w:rsidRPr="00E155AD">
        <w:rPr>
          <w:rFonts w:eastAsia="仿宋_GB2312"/>
          <w:kern w:val="0"/>
          <w:sz w:val="32"/>
          <w:szCs w:val="32"/>
        </w:rPr>
        <w:t>2014</w:t>
      </w:r>
      <w:r w:rsidRPr="00E155AD">
        <w:rPr>
          <w:rFonts w:eastAsia="仿宋_GB2312"/>
          <w:kern w:val="0"/>
          <w:sz w:val="32"/>
          <w:szCs w:val="32"/>
        </w:rPr>
        <w:t>年第</w:t>
      </w:r>
      <w:r w:rsidRPr="00E155AD">
        <w:rPr>
          <w:rFonts w:eastAsia="仿宋_GB2312"/>
          <w:kern w:val="0"/>
          <w:sz w:val="32"/>
          <w:szCs w:val="32"/>
        </w:rPr>
        <w:t>44</w:t>
      </w:r>
      <w:r w:rsidRPr="00E155AD">
        <w:rPr>
          <w:rFonts w:eastAsia="仿宋_GB2312"/>
          <w:kern w:val="0"/>
          <w:sz w:val="32"/>
          <w:szCs w:val="32"/>
        </w:rPr>
        <w:t>号）的相关要求，下面着重介绍与缺血修饰白蛋白测定试剂盒预期用途有关的临床背景情况。</w:t>
      </w:r>
    </w:p>
    <w:p w:rsidR="00B43BE5" w:rsidRPr="00E155AD" w:rsidRDefault="00B43BE5" w:rsidP="00B43BE5">
      <w:pPr>
        <w:spacing w:line="580" w:lineRule="exact"/>
        <w:ind w:firstLine="640"/>
        <w:rPr>
          <w:rFonts w:eastAsia="仿宋_GB2312"/>
          <w:kern w:val="0"/>
          <w:sz w:val="32"/>
          <w:szCs w:val="32"/>
        </w:rPr>
      </w:pPr>
      <w:r w:rsidRPr="00E155AD">
        <w:rPr>
          <w:rFonts w:eastAsia="仿宋_GB2312"/>
          <w:kern w:val="0"/>
          <w:sz w:val="32"/>
          <w:szCs w:val="32"/>
        </w:rPr>
        <w:t>缺血修饰白蛋白（</w:t>
      </w:r>
      <w:r w:rsidRPr="00E155AD">
        <w:rPr>
          <w:rFonts w:eastAsia="仿宋_GB2312"/>
          <w:kern w:val="0"/>
          <w:sz w:val="32"/>
          <w:szCs w:val="32"/>
        </w:rPr>
        <w:t>Ischemia Modified Albumin</w:t>
      </w:r>
      <w:r w:rsidRPr="00E155AD">
        <w:rPr>
          <w:rFonts w:eastAsia="仿宋_GB2312"/>
          <w:kern w:val="0"/>
          <w:sz w:val="32"/>
          <w:szCs w:val="32"/>
        </w:rPr>
        <w:t>，</w:t>
      </w:r>
      <w:r w:rsidRPr="00E155AD">
        <w:rPr>
          <w:rFonts w:eastAsia="仿宋_GB2312"/>
          <w:kern w:val="0"/>
          <w:sz w:val="32"/>
          <w:szCs w:val="32"/>
        </w:rPr>
        <w:t>IMA</w:t>
      </w:r>
      <w:r w:rsidRPr="00E155AD">
        <w:rPr>
          <w:rFonts w:eastAsia="仿宋_GB2312"/>
          <w:kern w:val="0"/>
          <w:sz w:val="32"/>
          <w:szCs w:val="32"/>
        </w:rPr>
        <w:t>）测定可用于急性冠状动脉综合征（</w:t>
      </w:r>
      <w:r w:rsidRPr="00E155AD">
        <w:rPr>
          <w:rFonts w:eastAsia="仿宋_GB2312"/>
          <w:kern w:val="0"/>
          <w:sz w:val="32"/>
          <w:szCs w:val="32"/>
        </w:rPr>
        <w:t>Acute Coronary Syndrome</w:t>
      </w:r>
      <w:r w:rsidRPr="00E155AD">
        <w:rPr>
          <w:rFonts w:eastAsia="仿宋_GB2312"/>
          <w:kern w:val="0"/>
          <w:sz w:val="32"/>
          <w:szCs w:val="32"/>
        </w:rPr>
        <w:t>，</w:t>
      </w:r>
      <w:r w:rsidRPr="00E155AD">
        <w:rPr>
          <w:rFonts w:eastAsia="仿宋_GB2312"/>
          <w:kern w:val="0"/>
          <w:sz w:val="32"/>
          <w:szCs w:val="32"/>
        </w:rPr>
        <w:t>ACS</w:t>
      </w:r>
      <w:r w:rsidRPr="00E155AD">
        <w:rPr>
          <w:rFonts w:eastAsia="仿宋_GB2312"/>
          <w:kern w:val="0"/>
          <w:sz w:val="32"/>
          <w:szCs w:val="32"/>
        </w:rPr>
        <w:t>）的排除诊断及危险性分层。心肌缺血时</w:t>
      </w:r>
      <w:r w:rsidRPr="00E155AD">
        <w:rPr>
          <w:rFonts w:eastAsia="仿宋_GB2312"/>
          <w:kern w:val="0"/>
          <w:sz w:val="32"/>
          <w:szCs w:val="32"/>
        </w:rPr>
        <w:t>,IMA</w:t>
      </w:r>
      <w:r w:rsidRPr="00E155AD">
        <w:rPr>
          <w:rFonts w:eastAsia="仿宋_GB2312"/>
          <w:kern w:val="0"/>
          <w:sz w:val="32"/>
          <w:szCs w:val="32"/>
        </w:rPr>
        <w:t>可在数分钟内升高</w:t>
      </w:r>
      <w:r w:rsidRPr="00E155AD">
        <w:rPr>
          <w:rFonts w:eastAsia="仿宋_GB2312"/>
          <w:kern w:val="0"/>
          <w:sz w:val="32"/>
          <w:szCs w:val="32"/>
        </w:rPr>
        <w:t>,</w:t>
      </w:r>
      <w:r w:rsidRPr="00E155AD">
        <w:rPr>
          <w:rFonts w:eastAsia="仿宋_GB2312"/>
          <w:kern w:val="0"/>
          <w:sz w:val="32"/>
          <w:szCs w:val="32"/>
        </w:rPr>
        <w:t>缺血缓解后</w:t>
      </w:r>
      <w:r w:rsidRPr="00E155AD">
        <w:rPr>
          <w:rFonts w:eastAsia="仿宋_GB2312"/>
          <w:kern w:val="0"/>
          <w:sz w:val="32"/>
          <w:szCs w:val="32"/>
        </w:rPr>
        <w:t>6</w:t>
      </w:r>
      <w:r>
        <w:rPr>
          <w:rFonts w:eastAsia="仿宋_GB2312" w:hint="eastAsia"/>
          <w:kern w:val="0"/>
          <w:sz w:val="32"/>
          <w:szCs w:val="32"/>
        </w:rPr>
        <w:t>—</w:t>
      </w:r>
      <w:r w:rsidRPr="00E155AD">
        <w:rPr>
          <w:rFonts w:eastAsia="仿宋_GB2312"/>
          <w:kern w:val="0"/>
          <w:sz w:val="32"/>
          <w:szCs w:val="32"/>
        </w:rPr>
        <w:t>12h</w:t>
      </w:r>
      <w:r w:rsidRPr="00E155AD">
        <w:rPr>
          <w:rFonts w:eastAsia="仿宋_GB2312"/>
          <w:kern w:val="0"/>
          <w:sz w:val="32"/>
          <w:szCs w:val="32"/>
        </w:rPr>
        <w:t>左右回到基础水平，故</w:t>
      </w:r>
      <w:r w:rsidRPr="00E155AD">
        <w:rPr>
          <w:rFonts w:eastAsia="仿宋_GB2312"/>
          <w:kern w:val="0"/>
          <w:sz w:val="32"/>
          <w:szCs w:val="32"/>
        </w:rPr>
        <w:t>IMA</w:t>
      </w:r>
      <w:r w:rsidRPr="00E155AD">
        <w:rPr>
          <w:rFonts w:eastAsia="仿宋_GB2312"/>
          <w:kern w:val="0"/>
          <w:sz w:val="32"/>
          <w:szCs w:val="32"/>
        </w:rPr>
        <w:t>的升高被认为是心肌缺血的早期诊断指标之一，亦可对判断预后提供参考。</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lastRenderedPageBreak/>
        <w:t>此外，非冠脉缺血（如耐力运动后</w:t>
      </w:r>
      <w:r w:rsidRPr="00E155AD">
        <w:rPr>
          <w:rFonts w:eastAsia="仿宋_GB2312"/>
          <w:kern w:val="0"/>
          <w:sz w:val="32"/>
          <w:szCs w:val="32"/>
        </w:rPr>
        <w:t>24</w:t>
      </w:r>
      <w:r>
        <w:rPr>
          <w:rFonts w:eastAsia="仿宋_GB2312" w:hint="eastAsia"/>
          <w:kern w:val="0"/>
          <w:sz w:val="32"/>
          <w:szCs w:val="32"/>
        </w:rPr>
        <w:t>—</w:t>
      </w:r>
      <w:r w:rsidRPr="00E155AD">
        <w:rPr>
          <w:rFonts w:eastAsia="仿宋_GB2312"/>
          <w:kern w:val="0"/>
          <w:sz w:val="32"/>
          <w:szCs w:val="32"/>
        </w:rPr>
        <w:t>48h</w:t>
      </w:r>
      <w:r w:rsidRPr="00E155AD">
        <w:rPr>
          <w:rFonts w:eastAsia="仿宋_GB2312"/>
          <w:kern w:val="0"/>
          <w:sz w:val="32"/>
          <w:szCs w:val="32"/>
        </w:rPr>
        <w:t>）、脑缺血（卒中）、某些肿瘤、急性感染、终末期肾病、肝硬化等情况可出现</w:t>
      </w:r>
      <w:r w:rsidRPr="00E155AD">
        <w:rPr>
          <w:rFonts w:eastAsia="仿宋_GB2312"/>
          <w:kern w:val="0"/>
          <w:sz w:val="32"/>
          <w:szCs w:val="32"/>
        </w:rPr>
        <w:t>IMA</w:t>
      </w:r>
      <w:r w:rsidRPr="00E155AD">
        <w:rPr>
          <w:rFonts w:eastAsia="仿宋_GB2312"/>
          <w:kern w:val="0"/>
          <w:sz w:val="32"/>
          <w:szCs w:val="32"/>
        </w:rPr>
        <w:t>升高。</w:t>
      </w:r>
    </w:p>
    <w:p w:rsidR="00B43BE5" w:rsidRPr="00E155AD" w:rsidRDefault="00B43BE5" w:rsidP="00B43BE5">
      <w:pPr>
        <w:spacing w:line="520" w:lineRule="exact"/>
        <w:ind w:firstLine="640"/>
        <w:rPr>
          <w:rFonts w:ascii="楷体_GB2312" w:eastAsia="楷体_GB2312" w:hint="eastAsia"/>
          <w:bCs/>
          <w:sz w:val="32"/>
          <w:szCs w:val="30"/>
        </w:rPr>
      </w:pPr>
      <w:r w:rsidRPr="00E155AD">
        <w:rPr>
          <w:rFonts w:ascii="楷体_GB2312" w:eastAsia="楷体_GB2312" w:hint="eastAsia"/>
          <w:bCs/>
          <w:sz w:val="32"/>
          <w:szCs w:val="30"/>
        </w:rPr>
        <w:t>（二）主要原材料研究资料（如需提供）</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主要原材料研究资料包括主要反应成分、质控品（如产品包含）、校准品（如产品包含）等的选择、制备及其质量标准的研究资料</w:t>
      </w:r>
      <w:r>
        <w:rPr>
          <w:rFonts w:eastAsia="仿宋_GB2312" w:hint="eastAsia"/>
          <w:kern w:val="0"/>
          <w:sz w:val="32"/>
          <w:szCs w:val="32"/>
        </w:rPr>
        <w:t>，</w:t>
      </w:r>
      <w:r w:rsidRPr="00E155AD">
        <w:rPr>
          <w:rFonts w:eastAsia="仿宋_GB2312"/>
          <w:kern w:val="0"/>
          <w:sz w:val="32"/>
          <w:szCs w:val="32"/>
        </w:rPr>
        <w:t>质控品、校准品的定值试验资料，校准品的溯源性文件，包括溯源链、具体实验方法、数据及统计分析等详细资料。</w:t>
      </w:r>
    </w:p>
    <w:p w:rsidR="00B43BE5" w:rsidRPr="00E155AD" w:rsidRDefault="00B43BE5" w:rsidP="00B43BE5">
      <w:pPr>
        <w:spacing w:line="520" w:lineRule="exact"/>
        <w:ind w:firstLine="640"/>
        <w:rPr>
          <w:rFonts w:ascii="楷体_GB2312" w:eastAsia="楷体_GB2312"/>
          <w:bCs/>
          <w:sz w:val="32"/>
          <w:szCs w:val="30"/>
        </w:rPr>
      </w:pPr>
      <w:r w:rsidRPr="00E155AD">
        <w:rPr>
          <w:rFonts w:ascii="楷体_GB2312" w:eastAsia="楷体_GB2312"/>
          <w:bCs/>
          <w:sz w:val="32"/>
          <w:szCs w:val="30"/>
        </w:rPr>
        <w:t>（三）主要生产工艺及反应体系的研究资料（如需提供）</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主要工艺包括：配制、分装等描述及确定依据，应包含产品的工艺流程图和关键控制点；反应体系包括样本采集及处理、样本要求、试剂用量、反应条件（温度、时间等）等研究资料。不同适用机型的反应条件如果有差异应分别详述。</w:t>
      </w:r>
    </w:p>
    <w:p w:rsidR="00B43BE5" w:rsidRPr="00E155AD" w:rsidRDefault="00B43BE5" w:rsidP="00B43BE5">
      <w:pPr>
        <w:spacing w:line="520" w:lineRule="exact"/>
        <w:ind w:firstLine="640"/>
        <w:rPr>
          <w:rFonts w:ascii="楷体_GB2312" w:eastAsia="楷体_GB2312"/>
          <w:bCs/>
          <w:sz w:val="32"/>
          <w:szCs w:val="30"/>
        </w:rPr>
      </w:pPr>
      <w:r w:rsidRPr="00E155AD">
        <w:rPr>
          <w:rFonts w:ascii="楷体_GB2312" w:eastAsia="楷体_GB2312"/>
          <w:bCs/>
          <w:sz w:val="32"/>
          <w:szCs w:val="30"/>
        </w:rPr>
        <w:t>（四）分析性能评估资料</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企业应提交在产品研制阶段对试剂进行的所有性能验证的研究资料，包括具体研究方法、试验数据、统计方法等详细资料。对于本试剂，建议着重对以下分析性能进行研究。</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1.</w:t>
      </w:r>
      <w:r w:rsidRPr="00E155AD">
        <w:rPr>
          <w:rFonts w:eastAsia="仿宋_GB2312"/>
          <w:kern w:val="0"/>
          <w:sz w:val="32"/>
          <w:szCs w:val="32"/>
        </w:rPr>
        <w:t>试剂空白吸光度</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用试剂测定空白样本，记录试剂参数规定读数点主波长下吸光度值（</w:t>
      </w:r>
      <w:r w:rsidRPr="00E155AD">
        <w:rPr>
          <w:rFonts w:eastAsia="仿宋_GB2312"/>
          <w:kern w:val="0"/>
          <w:sz w:val="32"/>
          <w:szCs w:val="32"/>
        </w:rPr>
        <w:t>A</w:t>
      </w:r>
      <w:r w:rsidRPr="00E155AD">
        <w:rPr>
          <w:rFonts w:eastAsia="仿宋_GB2312"/>
          <w:kern w:val="0"/>
          <w:sz w:val="32"/>
          <w:szCs w:val="32"/>
        </w:rPr>
        <w:t>），应</w:t>
      </w:r>
      <w:r w:rsidRPr="00E155AD">
        <w:rPr>
          <w:rFonts w:eastAsia="仿宋_GB2312"/>
          <w:kern w:val="0"/>
          <w:sz w:val="32"/>
          <w:szCs w:val="32"/>
        </w:rPr>
        <w:t>A≥0.6</w:t>
      </w:r>
      <w:r w:rsidRPr="00E155AD">
        <w:rPr>
          <w:rFonts w:eastAsia="仿宋_GB2312"/>
          <w:kern w:val="0"/>
          <w:sz w:val="32"/>
          <w:szCs w:val="32"/>
        </w:rPr>
        <w:t>。空白样本可以用纯化水或生理盐水。</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2</w:t>
      </w:r>
      <w:r>
        <w:rPr>
          <w:rFonts w:eastAsia="仿宋_GB2312" w:hint="eastAsia"/>
          <w:kern w:val="0"/>
          <w:sz w:val="32"/>
          <w:szCs w:val="32"/>
        </w:rPr>
        <w:t>.</w:t>
      </w:r>
      <w:r w:rsidRPr="00E155AD">
        <w:rPr>
          <w:rFonts w:eastAsia="仿宋_GB2312"/>
          <w:kern w:val="0"/>
          <w:sz w:val="32"/>
          <w:szCs w:val="32"/>
        </w:rPr>
        <w:t>分析灵敏度</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用试剂测试（</w:t>
      </w:r>
      <w:r w:rsidRPr="00E155AD">
        <w:rPr>
          <w:rFonts w:eastAsia="仿宋_GB2312"/>
          <w:kern w:val="0"/>
          <w:sz w:val="32"/>
          <w:szCs w:val="32"/>
        </w:rPr>
        <w:t>73.0</w:t>
      </w:r>
      <w:r>
        <w:rPr>
          <w:rFonts w:eastAsia="仿宋_GB2312" w:hint="eastAsia"/>
          <w:kern w:val="0"/>
          <w:sz w:val="32"/>
          <w:szCs w:val="32"/>
        </w:rPr>
        <w:t>—</w:t>
      </w:r>
      <w:r w:rsidRPr="00E155AD">
        <w:rPr>
          <w:rFonts w:eastAsia="仿宋_GB2312"/>
          <w:kern w:val="0"/>
          <w:sz w:val="32"/>
          <w:szCs w:val="32"/>
        </w:rPr>
        <w:t>83.0</w:t>
      </w:r>
      <w:r w:rsidRPr="00E155AD">
        <w:rPr>
          <w:rFonts w:eastAsia="仿宋_GB2312"/>
          <w:kern w:val="0"/>
          <w:sz w:val="32"/>
          <w:szCs w:val="32"/>
        </w:rPr>
        <w:t>）</w:t>
      </w:r>
      <w:r w:rsidRPr="00E155AD">
        <w:rPr>
          <w:rFonts w:eastAsia="仿宋_GB2312"/>
          <w:kern w:val="0"/>
          <w:sz w:val="32"/>
          <w:szCs w:val="32"/>
        </w:rPr>
        <w:t>U/mL</w:t>
      </w:r>
      <w:r w:rsidRPr="00E155AD">
        <w:rPr>
          <w:rFonts w:eastAsia="仿宋_GB2312"/>
          <w:kern w:val="0"/>
          <w:sz w:val="32"/>
          <w:szCs w:val="32"/>
        </w:rPr>
        <w:t>范围内的样本，记录在试剂参数规定读数点下的吸光度差值（</w:t>
      </w:r>
      <w:r w:rsidRPr="00E155AD">
        <w:rPr>
          <w:rFonts w:eastAsia="仿宋_GB2312"/>
          <w:kern w:val="0"/>
          <w:sz w:val="32"/>
          <w:szCs w:val="32"/>
        </w:rPr>
        <w:t>△A</w:t>
      </w:r>
      <w:r w:rsidRPr="00E155AD">
        <w:rPr>
          <w:rFonts w:eastAsia="仿宋_GB2312"/>
          <w:kern w:val="0"/>
          <w:sz w:val="32"/>
          <w:szCs w:val="32"/>
        </w:rPr>
        <w:t>），换算为</w:t>
      </w:r>
      <w:r w:rsidRPr="00E155AD">
        <w:rPr>
          <w:rFonts w:eastAsia="仿宋_GB2312"/>
          <w:kern w:val="0"/>
          <w:sz w:val="32"/>
          <w:szCs w:val="32"/>
        </w:rPr>
        <w:t>78.0U/mL</w:t>
      </w:r>
      <w:r w:rsidRPr="00E155AD">
        <w:rPr>
          <w:rFonts w:eastAsia="仿宋_GB2312"/>
          <w:kern w:val="0"/>
          <w:sz w:val="32"/>
          <w:szCs w:val="32"/>
        </w:rPr>
        <w:t>的吸光度差值（</w:t>
      </w:r>
      <w:r w:rsidRPr="00E155AD">
        <w:rPr>
          <w:rFonts w:eastAsia="仿宋_GB2312"/>
          <w:kern w:val="0"/>
          <w:sz w:val="32"/>
          <w:szCs w:val="32"/>
        </w:rPr>
        <w:t>△A</w:t>
      </w:r>
      <w:r w:rsidRPr="00E155AD">
        <w:rPr>
          <w:rFonts w:eastAsia="仿宋_GB2312"/>
          <w:kern w:val="0"/>
          <w:sz w:val="32"/>
          <w:szCs w:val="32"/>
        </w:rPr>
        <w:t>）即为本产品的分析灵敏度。</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3.</w:t>
      </w:r>
      <w:r w:rsidRPr="00E155AD">
        <w:rPr>
          <w:rFonts w:eastAsia="仿宋_GB2312"/>
          <w:kern w:val="0"/>
          <w:sz w:val="32"/>
          <w:szCs w:val="32"/>
        </w:rPr>
        <w:t>准确度</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lastRenderedPageBreak/>
        <w:t>对测量准确度的评价包括：与国家标准品（和</w:t>
      </w:r>
      <w:r w:rsidRPr="00E155AD">
        <w:rPr>
          <w:rFonts w:eastAsia="仿宋_GB2312"/>
          <w:kern w:val="0"/>
          <w:sz w:val="32"/>
          <w:szCs w:val="32"/>
        </w:rPr>
        <w:t>/</w:t>
      </w:r>
      <w:r w:rsidRPr="00E155AD">
        <w:rPr>
          <w:rFonts w:eastAsia="仿宋_GB2312"/>
          <w:kern w:val="0"/>
          <w:sz w:val="32"/>
          <w:szCs w:val="32"/>
        </w:rPr>
        <w:t>或国际标准品）的偏差分析、方法学比对等方法，企业可根据实际情况选择合理方法进行研究。</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1</w:t>
      </w:r>
      <w:r w:rsidRPr="00E155AD">
        <w:rPr>
          <w:rFonts w:eastAsia="仿宋_GB2312"/>
          <w:kern w:val="0"/>
          <w:sz w:val="32"/>
          <w:szCs w:val="32"/>
        </w:rPr>
        <w:t>）方法学比对</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采用参考方法或国内</w:t>
      </w:r>
      <w:r w:rsidRPr="00E155AD">
        <w:rPr>
          <w:rFonts w:eastAsia="仿宋_GB2312"/>
          <w:kern w:val="0"/>
          <w:sz w:val="32"/>
          <w:szCs w:val="32"/>
        </w:rPr>
        <w:t>/</w:t>
      </w:r>
      <w:r w:rsidRPr="00E155AD">
        <w:rPr>
          <w:rFonts w:eastAsia="仿宋_GB2312"/>
          <w:kern w:val="0"/>
          <w:sz w:val="32"/>
          <w:szCs w:val="32"/>
        </w:rPr>
        <w:t>国际普遍认为质量较好的已上市同类试剂作为参比方法，与拟申报试剂同时检测一批病人样品，从测定结果间的差异了解拟申报试剂与参比方法间的偏倚。如偏倚很小或在允许的误差范围内，说明两检测系统对病人标本测定结果基本相符，对同一份临床样本的医学解释，拟申报试剂与参比方法相比不会产生差异结果。</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在实施方法学比对前，应分别对拟申报试剂和参比试剂进行初步评估，只有在确认两者都分别符合各自相关的质量标准后方可进行比对试验。方法学比对时应注意质量控制、样本类型、浓度分布范围并对结果进行合理的统计学分析。相关系数</w:t>
      </w:r>
      <w:r w:rsidRPr="00E155AD">
        <w:rPr>
          <w:rFonts w:eastAsia="仿宋_GB2312"/>
          <w:kern w:val="0"/>
          <w:sz w:val="32"/>
          <w:szCs w:val="32"/>
        </w:rPr>
        <w:t>r2≥0.95</w:t>
      </w:r>
      <w:r w:rsidRPr="00E155AD">
        <w:rPr>
          <w:rFonts w:eastAsia="仿宋_GB2312"/>
          <w:kern w:val="0"/>
          <w:sz w:val="32"/>
          <w:szCs w:val="32"/>
        </w:rPr>
        <w:t>，相对偏差应不超过</w:t>
      </w:r>
      <w:r w:rsidRPr="00E155AD">
        <w:rPr>
          <w:rFonts w:eastAsia="仿宋_GB2312"/>
          <w:kern w:val="0"/>
          <w:sz w:val="32"/>
          <w:szCs w:val="32"/>
        </w:rPr>
        <w:t>±15%</w:t>
      </w:r>
      <w:r w:rsidRPr="00E155AD">
        <w:rPr>
          <w:rFonts w:eastAsia="仿宋_GB2312"/>
          <w:kern w:val="0"/>
          <w:sz w:val="32"/>
          <w:szCs w:val="32"/>
        </w:rPr>
        <w:t>。</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2</w:t>
      </w:r>
      <w:r w:rsidRPr="00E155AD">
        <w:rPr>
          <w:rFonts w:eastAsia="仿宋_GB2312"/>
          <w:kern w:val="0"/>
          <w:sz w:val="32"/>
          <w:szCs w:val="32"/>
        </w:rPr>
        <w:t>）测试白蛋白浓度在（</w:t>
      </w:r>
      <w:r w:rsidRPr="00E155AD">
        <w:rPr>
          <w:rFonts w:eastAsia="仿宋_GB2312"/>
          <w:kern w:val="0"/>
          <w:sz w:val="32"/>
          <w:szCs w:val="32"/>
        </w:rPr>
        <w:t>43</w:t>
      </w:r>
      <w:r>
        <w:rPr>
          <w:rFonts w:eastAsia="仿宋_GB2312" w:hint="eastAsia"/>
          <w:kern w:val="0"/>
          <w:sz w:val="32"/>
          <w:szCs w:val="32"/>
        </w:rPr>
        <w:t>—</w:t>
      </w:r>
      <w:r w:rsidRPr="00E155AD">
        <w:rPr>
          <w:rFonts w:eastAsia="仿宋_GB2312"/>
          <w:kern w:val="0"/>
          <w:sz w:val="32"/>
          <w:szCs w:val="32"/>
        </w:rPr>
        <w:t>47</w:t>
      </w:r>
      <w:r w:rsidRPr="00E155AD">
        <w:rPr>
          <w:rFonts w:eastAsia="仿宋_GB2312"/>
          <w:kern w:val="0"/>
          <w:sz w:val="32"/>
          <w:szCs w:val="32"/>
        </w:rPr>
        <w:t>）</w:t>
      </w:r>
      <w:r w:rsidRPr="00E155AD">
        <w:rPr>
          <w:rFonts w:eastAsia="仿宋_GB2312"/>
          <w:kern w:val="0"/>
          <w:sz w:val="32"/>
          <w:szCs w:val="32"/>
        </w:rPr>
        <w:t>g/L</w:t>
      </w:r>
      <w:r w:rsidRPr="00E155AD">
        <w:rPr>
          <w:rFonts w:eastAsia="仿宋_GB2312"/>
          <w:kern w:val="0"/>
          <w:sz w:val="32"/>
          <w:szCs w:val="32"/>
        </w:rPr>
        <w:t>区间内的</w:t>
      </w:r>
      <w:r w:rsidRPr="00E155AD">
        <w:rPr>
          <w:rFonts w:eastAsia="仿宋_GB2312"/>
          <w:kern w:val="0"/>
          <w:sz w:val="32"/>
          <w:szCs w:val="32"/>
        </w:rPr>
        <w:t>40</w:t>
      </w:r>
      <w:r w:rsidRPr="00E155AD">
        <w:rPr>
          <w:rFonts w:eastAsia="仿宋_GB2312"/>
          <w:kern w:val="0"/>
          <w:sz w:val="32"/>
          <w:szCs w:val="32"/>
        </w:rPr>
        <w:t>份健康人血清样本的</w:t>
      </w:r>
      <w:r w:rsidRPr="00E155AD">
        <w:rPr>
          <w:rFonts w:eastAsia="仿宋_GB2312"/>
          <w:kern w:val="0"/>
          <w:sz w:val="32"/>
          <w:szCs w:val="32"/>
        </w:rPr>
        <w:t>IMA</w:t>
      </w:r>
      <w:r w:rsidRPr="00E155AD">
        <w:rPr>
          <w:rFonts w:eastAsia="仿宋_GB2312"/>
          <w:kern w:val="0"/>
          <w:sz w:val="32"/>
          <w:szCs w:val="32"/>
        </w:rPr>
        <w:t>值，计算各样本</w:t>
      </w:r>
      <w:r w:rsidRPr="00E155AD">
        <w:rPr>
          <w:rFonts w:eastAsia="仿宋_GB2312"/>
          <w:kern w:val="0"/>
          <w:sz w:val="32"/>
          <w:szCs w:val="32"/>
        </w:rPr>
        <w:t>IMA/ALB(</w:t>
      </w:r>
      <w:r w:rsidRPr="00E155AD">
        <w:rPr>
          <w:rFonts w:eastAsia="仿宋_GB2312"/>
          <w:kern w:val="0"/>
          <w:sz w:val="32"/>
          <w:szCs w:val="32"/>
        </w:rPr>
        <w:t>白蛋白</w:t>
      </w:r>
      <w:r w:rsidRPr="00E155AD">
        <w:rPr>
          <w:rFonts w:eastAsia="仿宋_GB2312"/>
          <w:kern w:val="0"/>
          <w:sz w:val="32"/>
          <w:szCs w:val="32"/>
        </w:rPr>
        <w:t>)</w:t>
      </w:r>
      <w:r w:rsidRPr="00E155AD">
        <w:rPr>
          <w:rFonts w:eastAsia="仿宋_GB2312"/>
          <w:kern w:val="0"/>
          <w:sz w:val="32"/>
          <w:szCs w:val="32"/>
        </w:rPr>
        <w:t>的值，比值的</w:t>
      </w:r>
      <w:r w:rsidRPr="00E155AD">
        <w:rPr>
          <w:rFonts w:eastAsia="仿宋_GB2312"/>
          <w:kern w:val="0"/>
          <w:sz w:val="32"/>
          <w:szCs w:val="32"/>
        </w:rPr>
        <w:t>95%</w:t>
      </w:r>
      <w:r w:rsidRPr="00E155AD">
        <w:rPr>
          <w:rFonts w:eastAsia="仿宋_GB2312"/>
          <w:kern w:val="0"/>
          <w:sz w:val="32"/>
          <w:szCs w:val="32"/>
        </w:rPr>
        <w:t>在</w:t>
      </w:r>
      <w:r w:rsidRPr="00E155AD">
        <w:rPr>
          <w:rFonts w:eastAsia="仿宋_GB2312"/>
          <w:kern w:val="0"/>
          <w:sz w:val="32"/>
          <w:szCs w:val="32"/>
        </w:rPr>
        <w:t>1.4—1.8</w:t>
      </w:r>
      <w:r w:rsidRPr="00E155AD">
        <w:rPr>
          <w:rFonts w:eastAsia="仿宋_GB2312"/>
          <w:kern w:val="0"/>
          <w:sz w:val="32"/>
          <w:szCs w:val="32"/>
        </w:rPr>
        <w:t>范围内即符合要求；当比值中有</w:t>
      </w:r>
      <w:r w:rsidRPr="00E155AD">
        <w:rPr>
          <w:rFonts w:eastAsia="仿宋_GB2312"/>
          <w:kern w:val="0"/>
          <w:sz w:val="32"/>
          <w:szCs w:val="32"/>
        </w:rPr>
        <w:t>3</w:t>
      </w:r>
      <w:r w:rsidRPr="00E155AD">
        <w:rPr>
          <w:rFonts w:eastAsia="仿宋_GB2312"/>
          <w:kern w:val="0"/>
          <w:sz w:val="32"/>
          <w:szCs w:val="32"/>
        </w:rPr>
        <w:t>个或</w:t>
      </w:r>
      <w:r w:rsidRPr="00E155AD">
        <w:rPr>
          <w:rFonts w:eastAsia="仿宋_GB2312"/>
          <w:kern w:val="0"/>
          <w:sz w:val="32"/>
          <w:szCs w:val="32"/>
        </w:rPr>
        <w:t>3</w:t>
      </w:r>
      <w:r w:rsidRPr="00E155AD">
        <w:rPr>
          <w:rFonts w:eastAsia="仿宋_GB2312"/>
          <w:kern w:val="0"/>
          <w:sz w:val="32"/>
          <w:szCs w:val="32"/>
        </w:rPr>
        <w:t>个以上数值不在</w:t>
      </w:r>
      <w:r w:rsidRPr="00E155AD">
        <w:rPr>
          <w:rFonts w:eastAsia="仿宋_GB2312"/>
          <w:kern w:val="0"/>
          <w:sz w:val="32"/>
          <w:szCs w:val="32"/>
        </w:rPr>
        <w:t>1.4—1.8</w:t>
      </w:r>
      <w:r w:rsidRPr="00E155AD">
        <w:rPr>
          <w:rFonts w:eastAsia="仿宋_GB2312"/>
          <w:kern w:val="0"/>
          <w:sz w:val="32"/>
          <w:szCs w:val="32"/>
        </w:rPr>
        <w:t>范围内时，应进行</w:t>
      </w:r>
      <w:r w:rsidRPr="00E155AD">
        <w:rPr>
          <w:rFonts w:eastAsia="仿宋_GB2312"/>
          <w:kern w:val="0"/>
          <w:sz w:val="32"/>
          <w:szCs w:val="32"/>
        </w:rPr>
        <w:t>120</w:t>
      </w:r>
      <w:r w:rsidRPr="00E155AD">
        <w:rPr>
          <w:rFonts w:eastAsia="仿宋_GB2312"/>
          <w:kern w:val="0"/>
          <w:sz w:val="32"/>
          <w:szCs w:val="32"/>
        </w:rPr>
        <w:t>份健康人血清样本的实验，比值的</w:t>
      </w:r>
      <w:r w:rsidRPr="00E155AD">
        <w:rPr>
          <w:rFonts w:eastAsia="仿宋_GB2312"/>
          <w:kern w:val="0"/>
          <w:sz w:val="32"/>
          <w:szCs w:val="32"/>
        </w:rPr>
        <w:t>95%</w:t>
      </w:r>
      <w:r w:rsidRPr="00E155AD">
        <w:rPr>
          <w:rFonts w:eastAsia="仿宋_GB2312"/>
          <w:kern w:val="0"/>
          <w:sz w:val="32"/>
          <w:szCs w:val="32"/>
        </w:rPr>
        <w:t>在</w:t>
      </w:r>
      <w:r w:rsidRPr="00E155AD">
        <w:rPr>
          <w:rFonts w:eastAsia="仿宋_GB2312"/>
          <w:kern w:val="0"/>
          <w:sz w:val="32"/>
          <w:szCs w:val="32"/>
        </w:rPr>
        <w:t>1.4—1.8</w:t>
      </w:r>
      <w:r w:rsidRPr="00E155AD">
        <w:rPr>
          <w:rFonts w:eastAsia="仿宋_GB2312"/>
          <w:kern w:val="0"/>
          <w:sz w:val="32"/>
          <w:szCs w:val="32"/>
        </w:rPr>
        <w:t>范围内即符合要求。</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4.</w:t>
      </w:r>
      <w:r w:rsidRPr="00E155AD">
        <w:rPr>
          <w:rFonts w:eastAsia="仿宋_GB2312"/>
          <w:kern w:val="0"/>
          <w:sz w:val="32"/>
          <w:szCs w:val="32"/>
        </w:rPr>
        <w:t>精密度</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1</w:t>
      </w:r>
      <w:r w:rsidRPr="00E155AD">
        <w:rPr>
          <w:rFonts w:eastAsia="仿宋_GB2312"/>
          <w:kern w:val="0"/>
          <w:sz w:val="32"/>
          <w:szCs w:val="32"/>
        </w:rPr>
        <w:t>）重复性</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测量精密度的评估应至少包括两个浓度水平的样本进行，两个浓度都应在试剂的测量范围内且有一定的临床意义（医学决定水平），通常选用该检测指标的正常参考区间附近和高值样本（两</w:t>
      </w:r>
      <w:r w:rsidRPr="00E155AD">
        <w:rPr>
          <w:rFonts w:eastAsia="仿宋_GB2312"/>
          <w:kern w:val="0"/>
          <w:sz w:val="32"/>
          <w:szCs w:val="32"/>
        </w:rPr>
        <w:lastRenderedPageBreak/>
        <w:t>个浓度都选用高值样本，可能致</w:t>
      </w:r>
      <w:r w:rsidRPr="00E155AD">
        <w:rPr>
          <w:rFonts w:eastAsia="仿宋_GB2312"/>
          <w:kern w:val="0"/>
          <w:sz w:val="32"/>
          <w:szCs w:val="32"/>
        </w:rPr>
        <w:t>CV</w:t>
      </w:r>
      <w:r w:rsidRPr="00E155AD">
        <w:rPr>
          <w:rFonts w:eastAsia="仿宋_GB2312"/>
          <w:kern w:val="0"/>
          <w:sz w:val="32"/>
          <w:szCs w:val="32"/>
        </w:rPr>
        <w:t>偏小，也不能选用接近最低检出限的样本，可能致</w:t>
      </w:r>
      <w:r w:rsidRPr="00E155AD">
        <w:rPr>
          <w:rFonts w:eastAsia="仿宋_GB2312"/>
          <w:kern w:val="0"/>
          <w:sz w:val="32"/>
          <w:szCs w:val="32"/>
        </w:rPr>
        <w:t>CV</w:t>
      </w:r>
      <w:r w:rsidRPr="00E155AD">
        <w:rPr>
          <w:rFonts w:eastAsia="仿宋_GB2312"/>
          <w:kern w:val="0"/>
          <w:sz w:val="32"/>
          <w:szCs w:val="32"/>
        </w:rPr>
        <w:t>偏大）。</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测量精密度的评价方法并无统一的标准可依，可根据不同的试剂特征或企业的研究习惯进行，前提是必须保证研究的科学合理性。具体实验方法可以参考相关的</w:t>
      </w:r>
      <w:r w:rsidRPr="00E155AD">
        <w:rPr>
          <w:rFonts w:eastAsia="仿宋_GB2312"/>
          <w:kern w:val="0"/>
          <w:sz w:val="32"/>
          <w:szCs w:val="32"/>
        </w:rPr>
        <w:t>CLSI-EP</w:t>
      </w:r>
      <w:r w:rsidRPr="00E155AD">
        <w:rPr>
          <w:rFonts w:eastAsia="仿宋_GB2312"/>
          <w:kern w:val="0"/>
          <w:sz w:val="32"/>
          <w:szCs w:val="32"/>
        </w:rPr>
        <w:t>文件或国内有关体外诊断产品性能评估的文件进行。</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在重复性条件下，测试（</w:t>
      </w:r>
      <w:r w:rsidRPr="00E155AD">
        <w:rPr>
          <w:rFonts w:eastAsia="仿宋_GB2312"/>
          <w:kern w:val="0"/>
          <w:sz w:val="32"/>
          <w:szCs w:val="32"/>
        </w:rPr>
        <w:t>78.0±5.0</w:t>
      </w:r>
      <w:r w:rsidRPr="00E155AD">
        <w:rPr>
          <w:rFonts w:eastAsia="仿宋_GB2312"/>
          <w:kern w:val="0"/>
          <w:sz w:val="32"/>
          <w:szCs w:val="32"/>
        </w:rPr>
        <w:t>）</w:t>
      </w:r>
      <w:r w:rsidRPr="00E155AD">
        <w:rPr>
          <w:rFonts w:eastAsia="仿宋_GB2312"/>
          <w:kern w:val="0"/>
          <w:sz w:val="32"/>
          <w:szCs w:val="32"/>
        </w:rPr>
        <w:t>U/mL</w:t>
      </w:r>
      <w:r w:rsidRPr="00E155AD">
        <w:rPr>
          <w:rFonts w:eastAsia="仿宋_GB2312"/>
          <w:kern w:val="0"/>
          <w:sz w:val="32"/>
          <w:szCs w:val="32"/>
        </w:rPr>
        <w:t>区间样本，重复测试</w:t>
      </w:r>
      <w:r w:rsidRPr="00E155AD">
        <w:rPr>
          <w:rFonts w:eastAsia="仿宋_GB2312"/>
          <w:kern w:val="0"/>
          <w:sz w:val="32"/>
          <w:szCs w:val="32"/>
        </w:rPr>
        <w:t>10</w:t>
      </w:r>
      <w:r w:rsidRPr="00E155AD">
        <w:rPr>
          <w:rFonts w:eastAsia="仿宋_GB2312"/>
          <w:kern w:val="0"/>
          <w:sz w:val="32"/>
          <w:szCs w:val="32"/>
        </w:rPr>
        <w:t>次，计算测量值的平均值（</w:t>
      </w:r>
      <w:r w:rsidR="00A425DE">
        <w:rPr>
          <w:rFonts w:eastAsia="仿宋_GB2312"/>
          <w:noProof/>
          <w:kern w:val="0"/>
          <w:sz w:val="32"/>
          <w:szCs w:val="32"/>
        </w:rPr>
        <w:drawing>
          <wp:inline distT="0" distB="0" distL="0" distR="0">
            <wp:extent cx="104775" cy="209550"/>
            <wp:effectExtent l="19050" t="0" r="9525"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cstate="print"/>
                    <a:srcRect/>
                    <a:stretch>
                      <a:fillRect/>
                    </a:stretch>
                  </pic:blipFill>
                  <pic:spPr bwMode="auto">
                    <a:xfrm>
                      <a:off x="0" y="0"/>
                      <a:ext cx="104775" cy="209550"/>
                    </a:xfrm>
                    <a:prstGeom prst="rect">
                      <a:avLst/>
                    </a:prstGeom>
                    <a:noFill/>
                    <a:ln w="9525">
                      <a:noFill/>
                      <a:miter lim="800000"/>
                      <a:headEnd/>
                      <a:tailEnd/>
                    </a:ln>
                  </pic:spPr>
                </pic:pic>
              </a:graphicData>
            </a:graphic>
          </wp:inline>
        </w:drawing>
      </w:r>
      <w:r w:rsidRPr="00E155AD">
        <w:rPr>
          <w:rFonts w:eastAsia="仿宋_GB2312"/>
          <w:kern w:val="0"/>
          <w:sz w:val="32"/>
          <w:szCs w:val="32"/>
        </w:rPr>
        <w:t>）和标准差（</w:t>
      </w:r>
      <w:r w:rsidRPr="00E155AD">
        <w:rPr>
          <w:rFonts w:eastAsia="仿宋_GB2312"/>
          <w:kern w:val="0"/>
          <w:sz w:val="32"/>
          <w:szCs w:val="32"/>
        </w:rPr>
        <w:t>SD</w:t>
      </w:r>
      <w:r w:rsidRPr="00E155AD">
        <w:rPr>
          <w:rFonts w:eastAsia="仿宋_GB2312"/>
          <w:kern w:val="0"/>
          <w:sz w:val="32"/>
          <w:szCs w:val="32"/>
        </w:rPr>
        <w:t>）。按式（</w:t>
      </w:r>
      <w:r w:rsidRPr="00E155AD">
        <w:rPr>
          <w:rFonts w:eastAsia="仿宋_GB2312"/>
          <w:kern w:val="0"/>
          <w:sz w:val="32"/>
          <w:szCs w:val="32"/>
        </w:rPr>
        <w:t>1</w:t>
      </w:r>
      <w:r w:rsidRPr="00E155AD">
        <w:rPr>
          <w:rFonts w:eastAsia="仿宋_GB2312"/>
          <w:kern w:val="0"/>
          <w:sz w:val="32"/>
          <w:szCs w:val="32"/>
        </w:rPr>
        <w:t>）计算</w:t>
      </w:r>
    </w:p>
    <w:p w:rsidR="00B43BE5" w:rsidRPr="002F1680" w:rsidRDefault="00B43BE5" w:rsidP="00B43BE5">
      <w:pPr>
        <w:spacing w:line="520" w:lineRule="exact"/>
        <w:ind w:firstLine="600"/>
        <w:rPr>
          <w:sz w:val="30"/>
          <w:szCs w:val="30"/>
        </w:rPr>
      </w:pPr>
      <w:r w:rsidRPr="002F1680">
        <w:rPr>
          <w:sz w:val="30"/>
          <w:szCs w:val="30"/>
        </w:rPr>
        <w:object w:dxaOrig="19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8.75pt" o:ole="" fillcolor="window">
            <v:imagedata r:id="rId7" o:title=""/>
          </v:shape>
          <o:OLEObject Type="Embed" ProgID="Equation.3" ShapeID="_x0000_i1025" DrawAspect="Content" ObjectID="_1593415616" r:id="rId8"/>
        </w:object>
      </w:r>
      <w:r w:rsidRPr="002F1680">
        <w:rPr>
          <w:sz w:val="30"/>
          <w:szCs w:val="30"/>
        </w:rPr>
        <w:t xml:space="preserve"> </w:t>
      </w:r>
      <w:r w:rsidRPr="002F1680">
        <w:rPr>
          <w:sz w:val="30"/>
          <w:szCs w:val="30"/>
        </w:rPr>
        <w:tab/>
        <w:t>(</w:t>
      </w:r>
      <w:r w:rsidRPr="002F1680">
        <w:rPr>
          <w:sz w:val="30"/>
          <w:szCs w:val="30"/>
        </w:rPr>
        <w:fldChar w:fldCharType="begin"/>
      </w:r>
      <w:r w:rsidRPr="002F1680">
        <w:rPr>
          <w:sz w:val="30"/>
          <w:szCs w:val="30"/>
        </w:rPr>
        <w:instrText xml:space="preserve"> SEQ </w:instrText>
      </w:r>
      <w:r w:rsidRPr="002F1680">
        <w:rPr>
          <w:sz w:val="30"/>
          <w:szCs w:val="30"/>
        </w:rPr>
        <w:instrText>标准自动公式</w:instrText>
      </w:r>
      <w:r w:rsidRPr="002F1680">
        <w:rPr>
          <w:sz w:val="30"/>
          <w:szCs w:val="30"/>
        </w:rPr>
        <w:instrText xml:space="preserve"> \* ARABIC </w:instrText>
      </w:r>
      <w:r w:rsidRPr="002F1680">
        <w:rPr>
          <w:sz w:val="30"/>
          <w:szCs w:val="30"/>
        </w:rPr>
        <w:fldChar w:fldCharType="separate"/>
      </w:r>
      <w:r>
        <w:rPr>
          <w:noProof/>
          <w:sz w:val="30"/>
          <w:szCs w:val="30"/>
        </w:rPr>
        <w:t>1</w:t>
      </w:r>
      <w:r w:rsidRPr="002F1680">
        <w:rPr>
          <w:sz w:val="30"/>
          <w:szCs w:val="30"/>
        </w:rPr>
        <w:fldChar w:fldCharType="end"/>
      </w:r>
      <w:r w:rsidRPr="002F1680">
        <w:rPr>
          <w:sz w:val="30"/>
          <w:szCs w:val="30"/>
        </w:rPr>
        <w:t>)</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式中：</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CV—</w:t>
      </w:r>
      <w:r w:rsidRPr="00E155AD">
        <w:rPr>
          <w:rFonts w:eastAsia="仿宋_GB2312"/>
          <w:kern w:val="0"/>
          <w:sz w:val="32"/>
          <w:szCs w:val="32"/>
        </w:rPr>
        <w:t>变异系数；</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SD—</w:t>
      </w:r>
      <w:r w:rsidRPr="00E155AD">
        <w:rPr>
          <w:rFonts w:eastAsia="仿宋_GB2312"/>
          <w:kern w:val="0"/>
          <w:sz w:val="32"/>
          <w:szCs w:val="32"/>
        </w:rPr>
        <w:t>标准差；</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object w:dxaOrig="220" w:dyaOrig="260">
          <v:shape id="_x0000_i1026" type="#_x0000_t75" style="width:11.25pt;height:13.5pt" o:ole="">
            <v:imagedata r:id="rId9" o:title=""/>
          </v:shape>
          <o:OLEObject Type="Embed" ProgID="Equation.3" ShapeID="_x0000_i1026" DrawAspect="Content" ObjectID="_1593415617" r:id="rId10"/>
        </w:object>
      </w:r>
      <w:r w:rsidRPr="00E155AD">
        <w:rPr>
          <w:rFonts w:eastAsia="仿宋_GB2312"/>
          <w:kern w:val="0"/>
          <w:sz w:val="32"/>
          <w:szCs w:val="32"/>
        </w:rPr>
        <w:t>—</w:t>
      </w:r>
      <w:r w:rsidRPr="00E155AD">
        <w:rPr>
          <w:rFonts w:eastAsia="仿宋_GB2312"/>
          <w:kern w:val="0"/>
          <w:sz w:val="32"/>
          <w:szCs w:val="32"/>
        </w:rPr>
        <w:t>测量值的平均值。</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所得结果的变异系数（</w:t>
      </w:r>
      <w:r w:rsidRPr="00E155AD">
        <w:rPr>
          <w:rFonts w:eastAsia="仿宋_GB2312"/>
          <w:kern w:val="0"/>
          <w:sz w:val="32"/>
          <w:szCs w:val="32"/>
        </w:rPr>
        <w:t>CV</w:t>
      </w:r>
      <w:r w:rsidRPr="00E155AD">
        <w:rPr>
          <w:rFonts w:eastAsia="仿宋_GB2312"/>
          <w:kern w:val="0"/>
          <w:sz w:val="32"/>
          <w:szCs w:val="32"/>
        </w:rPr>
        <w:t>）应不大于</w:t>
      </w:r>
      <w:r w:rsidRPr="00E155AD">
        <w:rPr>
          <w:rFonts w:eastAsia="仿宋_GB2312"/>
          <w:kern w:val="0"/>
          <w:sz w:val="32"/>
          <w:szCs w:val="32"/>
        </w:rPr>
        <w:t>5%</w:t>
      </w:r>
      <w:r w:rsidRPr="00E155AD">
        <w:rPr>
          <w:rFonts w:eastAsia="仿宋_GB2312"/>
          <w:kern w:val="0"/>
          <w:sz w:val="32"/>
          <w:szCs w:val="32"/>
        </w:rPr>
        <w:t>。</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2</w:t>
      </w:r>
      <w:r w:rsidRPr="00E155AD">
        <w:rPr>
          <w:rFonts w:eastAsia="仿宋_GB2312"/>
          <w:kern w:val="0"/>
          <w:sz w:val="32"/>
          <w:szCs w:val="32"/>
        </w:rPr>
        <w:t>）批间差</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分别用</w:t>
      </w:r>
      <w:r w:rsidRPr="00E155AD">
        <w:rPr>
          <w:rFonts w:eastAsia="仿宋_GB2312"/>
          <w:kern w:val="0"/>
          <w:sz w:val="32"/>
          <w:szCs w:val="32"/>
        </w:rPr>
        <w:t>3</w:t>
      </w:r>
      <w:r w:rsidRPr="00E155AD">
        <w:rPr>
          <w:rFonts w:eastAsia="仿宋_GB2312"/>
          <w:kern w:val="0"/>
          <w:sz w:val="32"/>
          <w:szCs w:val="32"/>
        </w:rPr>
        <w:t>个不同批号的试剂（盒）测试（</w:t>
      </w:r>
      <w:r w:rsidRPr="00E155AD">
        <w:rPr>
          <w:rFonts w:eastAsia="仿宋_GB2312"/>
          <w:kern w:val="0"/>
          <w:sz w:val="32"/>
          <w:szCs w:val="32"/>
        </w:rPr>
        <w:t>78.0±5.0</w:t>
      </w:r>
      <w:r w:rsidRPr="00E155AD">
        <w:rPr>
          <w:rFonts w:eastAsia="仿宋_GB2312"/>
          <w:kern w:val="0"/>
          <w:sz w:val="32"/>
          <w:szCs w:val="32"/>
        </w:rPr>
        <w:t>）</w:t>
      </w:r>
      <w:r w:rsidRPr="00E155AD">
        <w:rPr>
          <w:rFonts w:eastAsia="仿宋_GB2312"/>
          <w:kern w:val="0"/>
          <w:sz w:val="32"/>
          <w:szCs w:val="32"/>
        </w:rPr>
        <w:t>U/mL</w:t>
      </w:r>
      <w:r w:rsidRPr="00E155AD">
        <w:rPr>
          <w:rFonts w:eastAsia="仿宋_GB2312"/>
          <w:kern w:val="0"/>
          <w:sz w:val="32"/>
          <w:szCs w:val="32"/>
        </w:rPr>
        <w:t>区间样本时，每个批号测试</w:t>
      </w:r>
      <w:r w:rsidRPr="00E155AD">
        <w:rPr>
          <w:rFonts w:eastAsia="仿宋_GB2312"/>
          <w:kern w:val="0"/>
          <w:sz w:val="32"/>
          <w:szCs w:val="32"/>
        </w:rPr>
        <w:t>3</w:t>
      </w:r>
      <w:r w:rsidRPr="00E155AD">
        <w:rPr>
          <w:rFonts w:eastAsia="仿宋_GB2312"/>
          <w:kern w:val="0"/>
          <w:sz w:val="32"/>
          <w:szCs w:val="32"/>
        </w:rPr>
        <w:t>次，分别计算每批</w:t>
      </w:r>
      <w:r w:rsidRPr="00E155AD">
        <w:rPr>
          <w:rFonts w:eastAsia="仿宋_GB2312"/>
          <w:kern w:val="0"/>
          <w:sz w:val="32"/>
          <w:szCs w:val="32"/>
        </w:rPr>
        <w:t>3</w:t>
      </w:r>
      <w:r w:rsidRPr="00E155AD">
        <w:rPr>
          <w:rFonts w:eastAsia="仿宋_GB2312"/>
          <w:kern w:val="0"/>
          <w:sz w:val="32"/>
          <w:szCs w:val="32"/>
        </w:rPr>
        <w:t>次检测的均值</w:t>
      </w:r>
      <w:r w:rsidR="00A425DE">
        <w:rPr>
          <w:rFonts w:eastAsia="仿宋_GB2312"/>
          <w:noProof/>
          <w:kern w:val="0"/>
          <w:sz w:val="32"/>
          <w:szCs w:val="32"/>
        </w:rPr>
        <w:drawing>
          <wp:inline distT="0" distB="0" distL="0" distR="0">
            <wp:extent cx="104775" cy="29527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cstate="print"/>
                    <a:srcRect/>
                    <a:stretch>
                      <a:fillRect/>
                    </a:stretch>
                  </pic:blipFill>
                  <pic:spPr bwMode="auto">
                    <a:xfrm>
                      <a:off x="0" y="0"/>
                      <a:ext cx="104775" cy="295275"/>
                    </a:xfrm>
                    <a:prstGeom prst="rect">
                      <a:avLst/>
                    </a:prstGeom>
                    <a:noFill/>
                    <a:ln w="9525">
                      <a:noFill/>
                      <a:miter lim="800000"/>
                      <a:headEnd/>
                      <a:tailEnd/>
                    </a:ln>
                  </pic:spPr>
                </pic:pic>
              </a:graphicData>
            </a:graphic>
          </wp:inline>
        </w:drawing>
      </w:r>
      <w:r w:rsidRPr="00E155AD">
        <w:rPr>
          <w:rFonts w:eastAsia="仿宋_GB2312"/>
          <w:kern w:val="0"/>
          <w:sz w:val="32"/>
          <w:szCs w:val="32"/>
        </w:rPr>
        <w:t>（</w:t>
      </w:r>
      <w:r w:rsidRPr="00E155AD">
        <w:rPr>
          <w:rFonts w:eastAsia="仿宋_GB2312"/>
          <w:kern w:val="0"/>
          <w:sz w:val="32"/>
          <w:szCs w:val="32"/>
        </w:rPr>
        <w:t>i=1,2,3</w:t>
      </w:r>
      <w:r w:rsidRPr="00E155AD">
        <w:rPr>
          <w:rFonts w:eastAsia="仿宋_GB2312"/>
          <w:kern w:val="0"/>
          <w:sz w:val="32"/>
          <w:szCs w:val="32"/>
        </w:rPr>
        <w:t>），按公式（</w:t>
      </w:r>
      <w:r w:rsidRPr="00E155AD">
        <w:rPr>
          <w:rFonts w:eastAsia="仿宋_GB2312"/>
          <w:kern w:val="0"/>
          <w:sz w:val="32"/>
          <w:szCs w:val="32"/>
        </w:rPr>
        <w:t>2</w:t>
      </w:r>
      <w:r w:rsidRPr="00E155AD">
        <w:rPr>
          <w:rFonts w:eastAsia="仿宋_GB2312"/>
          <w:kern w:val="0"/>
          <w:sz w:val="32"/>
          <w:szCs w:val="32"/>
        </w:rPr>
        <w:t>）、（</w:t>
      </w:r>
      <w:r w:rsidRPr="00E155AD">
        <w:rPr>
          <w:rFonts w:eastAsia="仿宋_GB2312"/>
          <w:kern w:val="0"/>
          <w:sz w:val="32"/>
          <w:szCs w:val="32"/>
        </w:rPr>
        <w:t>3</w:t>
      </w:r>
      <w:r w:rsidRPr="00E155AD">
        <w:rPr>
          <w:rFonts w:eastAsia="仿宋_GB2312"/>
          <w:kern w:val="0"/>
          <w:sz w:val="32"/>
          <w:szCs w:val="32"/>
        </w:rPr>
        <w:t>）计算</w:t>
      </w:r>
    </w:p>
    <w:p w:rsidR="00B43BE5" w:rsidRPr="002F1680" w:rsidRDefault="00B43BE5" w:rsidP="00B43BE5">
      <w:pPr>
        <w:spacing w:line="520" w:lineRule="exact"/>
        <w:ind w:firstLine="600"/>
        <w:rPr>
          <w:sz w:val="30"/>
          <w:szCs w:val="30"/>
        </w:rPr>
      </w:pPr>
    </w:p>
    <w:p w:rsidR="00B43BE5" w:rsidRPr="002F1680" w:rsidRDefault="00B43BE5" w:rsidP="00B43BE5">
      <w:pPr>
        <w:spacing w:line="520" w:lineRule="exact"/>
        <w:ind w:firstLine="600"/>
        <w:rPr>
          <w:sz w:val="32"/>
          <w:szCs w:val="32"/>
        </w:rPr>
      </w:pPr>
      <w:r w:rsidRPr="002F1680">
        <w:rPr>
          <w:noProof/>
          <w:sz w:val="30"/>
          <w:szCs w:val="30"/>
        </w:rPr>
        <w:pict>
          <v:shape id="_x0000_s2050" type="#_x0000_t75" style="position:absolute;left:0;text-align:left;margin-left:30.05pt;margin-top:1.4pt;width:87pt;height:31.5pt;z-index:251657216">
            <v:imagedata r:id="rId12" o:title=""/>
            <w10:wrap type="square"/>
          </v:shape>
          <o:OLEObject Type="Embed" ProgID="Equation.3" ShapeID="_x0000_s2050" DrawAspect="Content" ObjectID="_1593415623" r:id="rId13"/>
        </w:pict>
      </w:r>
      <w:r w:rsidRPr="002F1680">
        <w:rPr>
          <w:sz w:val="30"/>
          <w:szCs w:val="30"/>
        </w:rPr>
        <w:tab/>
      </w:r>
      <w:r w:rsidRPr="002F1680">
        <w:rPr>
          <w:sz w:val="32"/>
          <w:szCs w:val="32"/>
        </w:rPr>
        <w:t>(</w:t>
      </w:r>
      <w:r w:rsidRPr="002F1680">
        <w:rPr>
          <w:sz w:val="32"/>
          <w:szCs w:val="32"/>
        </w:rPr>
        <w:fldChar w:fldCharType="begin"/>
      </w:r>
      <w:r w:rsidRPr="002F1680">
        <w:rPr>
          <w:sz w:val="32"/>
          <w:szCs w:val="32"/>
        </w:rPr>
        <w:instrText xml:space="preserve"> SEQ </w:instrText>
      </w:r>
      <w:r w:rsidRPr="002F1680">
        <w:rPr>
          <w:sz w:val="32"/>
          <w:szCs w:val="32"/>
        </w:rPr>
        <w:instrText>标准自动公式</w:instrText>
      </w:r>
      <w:r w:rsidRPr="002F1680">
        <w:rPr>
          <w:sz w:val="32"/>
          <w:szCs w:val="32"/>
        </w:rPr>
        <w:instrText xml:space="preserve"> \* ARABIC </w:instrText>
      </w:r>
      <w:r w:rsidRPr="002F1680">
        <w:rPr>
          <w:sz w:val="32"/>
          <w:szCs w:val="32"/>
        </w:rPr>
        <w:fldChar w:fldCharType="separate"/>
      </w:r>
      <w:r>
        <w:rPr>
          <w:noProof/>
          <w:sz w:val="32"/>
          <w:szCs w:val="32"/>
        </w:rPr>
        <w:t>2</w:t>
      </w:r>
      <w:r w:rsidRPr="002F1680">
        <w:rPr>
          <w:sz w:val="32"/>
          <w:szCs w:val="32"/>
        </w:rPr>
        <w:fldChar w:fldCharType="end"/>
      </w:r>
      <w:r w:rsidRPr="002F1680">
        <w:rPr>
          <w:sz w:val="32"/>
          <w:szCs w:val="32"/>
        </w:rPr>
        <w:t>)</w:t>
      </w:r>
    </w:p>
    <w:p w:rsidR="00B43BE5" w:rsidRPr="002F1680" w:rsidRDefault="00B43BE5" w:rsidP="00B43BE5">
      <w:pPr>
        <w:spacing w:line="520" w:lineRule="exact"/>
        <w:ind w:firstLine="600"/>
        <w:rPr>
          <w:sz w:val="30"/>
          <w:szCs w:val="30"/>
        </w:rPr>
      </w:pPr>
    </w:p>
    <w:p w:rsidR="00B43BE5" w:rsidRPr="002F1680" w:rsidRDefault="00B43BE5" w:rsidP="00B43BE5">
      <w:pPr>
        <w:spacing w:line="520" w:lineRule="exact"/>
        <w:ind w:firstLineChars="100" w:firstLine="320"/>
        <w:rPr>
          <w:sz w:val="32"/>
          <w:szCs w:val="32"/>
        </w:rPr>
      </w:pPr>
      <w:r w:rsidRPr="002F1680">
        <w:rPr>
          <w:noProof/>
          <w:sz w:val="32"/>
          <w:szCs w:val="32"/>
        </w:rPr>
        <w:pict>
          <v:shape id="_x0000_s2051" type="#_x0000_t75" style="position:absolute;left:0;text-align:left;margin-left:30.05pt;margin-top:1.15pt;width:114pt;height:34.5pt;z-index:251658240">
            <v:imagedata r:id="rId14" o:title=""/>
            <w10:wrap type="square"/>
          </v:shape>
          <o:OLEObject Type="Embed" ProgID="Equation.3" ShapeID="_x0000_s2051" DrawAspect="Content" ObjectID="_1593415624" r:id="rId15"/>
        </w:pict>
      </w:r>
      <w:r w:rsidRPr="002F1680">
        <w:rPr>
          <w:sz w:val="32"/>
          <w:szCs w:val="32"/>
        </w:rPr>
        <w:t>(</w:t>
      </w:r>
      <w:r w:rsidRPr="002F1680">
        <w:rPr>
          <w:sz w:val="32"/>
          <w:szCs w:val="32"/>
        </w:rPr>
        <w:fldChar w:fldCharType="begin"/>
      </w:r>
      <w:r w:rsidRPr="002F1680">
        <w:rPr>
          <w:sz w:val="32"/>
          <w:szCs w:val="32"/>
        </w:rPr>
        <w:instrText xml:space="preserve"> SEQ </w:instrText>
      </w:r>
      <w:r w:rsidRPr="002F1680">
        <w:rPr>
          <w:sz w:val="32"/>
          <w:szCs w:val="32"/>
        </w:rPr>
        <w:instrText>标准自动公式</w:instrText>
      </w:r>
      <w:r w:rsidRPr="002F1680">
        <w:rPr>
          <w:sz w:val="32"/>
          <w:szCs w:val="32"/>
        </w:rPr>
        <w:instrText xml:space="preserve"> \* ARABIC </w:instrText>
      </w:r>
      <w:r w:rsidRPr="002F1680">
        <w:rPr>
          <w:sz w:val="32"/>
          <w:szCs w:val="32"/>
        </w:rPr>
        <w:fldChar w:fldCharType="separate"/>
      </w:r>
      <w:r>
        <w:rPr>
          <w:noProof/>
          <w:sz w:val="32"/>
          <w:szCs w:val="32"/>
        </w:rPr>
        <w:t>3</w:t>
      </w:r>
      <w:r w:rsidRPr="002F1680">
        <w:rPr>
          <w:sz w:val="32"/>
          <w:szCs w:val="32"/>
        </w:rPr>
        <w:fldChar w:fldCharType="end"/>
      </w:r>
      <w:r w:rsidRPr="002F1680">
        <w:rPr>
          <w:sz w:val="32"/>
          <w:szCs w:val="32"/>
        </w:rPr>
        <w:t>)</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式中：</w:t>
      </w:r>
    </w:p>
    <w:p w:rsidR="00B43BE5" w:rsidRPr="002F1680" w:rsidRDefault="00B43BE5" w:rsidP="00B43BE5">
      <w:pPr>
        <w:spacing w:line="520" w:lineRule="exact"/>
        <w:ind w:firstLine="640"/>
        <w:rPr>
          <w:sz w:val="32"/>
          <w:szCs w:val="30"/>
        </w:rPr>
      </w:pPr>
      <w:r w:rsidRPr="002F1680">
        <w:rPr>
          <w:sz w:val="32"/>
          <w:szCs w:val="30"/>
        </w:rPr>
        <w:object w:dxaOrig="460" w:dyaOrig="360">
          <v:shape id="_x0000_i1027" type="#_x0000_t75" style="width:27.75pt;height:21.75pt" o:ole="">
            <v:imagedata r:id="rId16" o:title=""/>
          </v:shape>
          <o:OLEObject Type="Embed" ProgID="Equation.3" ShapeID="_x0000_i1027" DrawAspect="Content" ObjectID="_1593415618" r:id="rId17"/>
        </w:object>
      </w:r>
      <w:r w:rsidRPr="002F1680">
        <w:rPr>
          <w:sz w:val="32"/>
          <w:szCs w:val="30"/>
        </w:rPr>
        <w:t>：</w:t>
      </w:r>
      <w:r w:rsidRPr="002F1680">
        <w:rPr>
          <w:sz w:val="32"/>
          <w:szCs w:val="30"/>
        </w:rPr>
        <w:object w:dxaOrig="240" w:dyaOrig="360">
          <v:shape id="_x0000_i1028" type="#_x0000_t75" style="width:13.5pt;height:21.75pt" o:ole="">
            <v:imagedata r:id="rId18" o:title=""/>
          </v:shape>
          <o:OLEObject Type="Embed" ProgID="Equation.3" ShapeID="_x0000_i1028" DrawAspect="Content" ObjectID="_1593415619" r:id="rId19"/>
        </w:object>
      </w:r>
      <w:r w:rsidRPr="002F1680">
        <w:rPr>
          <w:sz w:val="32"/>
          <w:szCs w:val="30"/>
        </w:rPr>
        <w:t xml:space="preserve"> </w:t>
      </w:r>
      <w:r w:rsidRPr="00E155AD">
        <w:rPr>
          <w:rFonts w:eastAsia="仿宋_GB2312"/>
          <w:kern w:val="0"/>
          <w:sz w:val="32"/>
          <w:szCs w:val="32"/>
        </w:rPr>
        <w:t>中的最大值；</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object w:dxaOrig="420" w:dyaOrig="340">
          <v:shape id="_x0000_i1029" type="#_x0000_t75" style="width:23.25pt;height:19.5pt" o:ole="">
            <v:imagedata r:id="rId20" o:title=""/>
          </v:shape>
          <o:OLEObject Type="Embed" ProgID="Equation.3" ShapeID="_x0000_i1029" DrawAspect="Content" ObjectID="_1593415620" r:id="rId21"/>
        </w:object>
      </w:r>
      <w:r w:rsidRPr="00E155AD">
        <w:rPr>
          <w:rFonts w:eastAsia="仿宋_GB2312"/>
          <w:kern w:val="0"/>
          <w:sz w:val="32"/>
          <w:szCs w:val="32"/>
        </w:rPr>
        <w:t>：</w:t>
      </w:r>
      <w:r w:rsidRPr="00E155AD">
        <w:rPr>
          <w:rFonts w:eastAsia="仿宋_GB2312"/>
          <w:kern w:val="0"/>
          <w:sz w:val="32"/>
          <w:szCs w:val="32"/>
        </w:rPr>
        <w:object w:dxaOrig="240" w:dyaOrig="360">
          <v:shape id="_x0000_i1030" type="#_x0000_t75" style="width:16.5pt;height:26.25pt" o:ole="">
            <v:imagedata r:id="rId18" o:title=""/>
          </v:shape>
          <o:OLEObject Type="Embed" ProgID="Equation.3" ShapeID="_x0000_i1030" DrawAspect="Content" ObjectID="_1593415621" r:id="rId22"/>
        </w:object>
      </w:r>
      <w:r w:rsidRPr="00E155AD">
        <w:rPr>
          <w:rFonts w:eastAsia="仿宋_GB2312"/>
          <w:kern w:val="0"/>
          <w:sz w:val="32"/>
          <w:szCs w:val="32"/>
        </w:rPr>
        <w:t>中的最小值；</w:t>
      </w:r>
    </w:p>
    <w:p w:rsidR="00B43BE5" w:rsidRPr="002F1680" w:rsidRDefault="00B43BE5" w:rsidP="00B43BE5">
      <w:pPr>
        <w:spacing w:line="520" w:lineRule="exact"/>
        <w:ind w:firstLine="640"/>
        <w:rPr>
          <w:sz w:val="32"/>
          <w:szCs w:val="30"/>
        </w:rPr>
      </w:pPr>
      <w:r w:rsidRPr="002F1680">
        <w:rPr>
          <w:sz w:val="32"/>
          <w:szCs w:val="30"/>
        </w:rPr>
        <w:object w:dxaOrig="279" w:dyaOrig="340">
          <v:shape id="_x0000_i1031" type="#_x0000_t75" style="width:17.25pt;height:23.25pt" o:ole="">
            <v:imagedata r:id="rId23" o:title=""/>
          </v:shape>
          <o:OLEObject Type="Embed" ProgID="Equation.3" ShapeID="_x0000_i1031" DrawAspect="Content" ObjectID="_1593415622" r:id="rId24"/>
        </w:object>
      </w:r>
      <w:r w:rsidRPr="002F1680">
        <w:rPr>
          <w:sz w:val="32"/>
          <w:szCs w:val="30"/>
        </w:rPr>
        <w:t>：</w:t>
      </w:r>
      <w:r w:rsidRPr="00E155AD">
        <w:rPr>
          <w:rFonts w:eastAsia="仿宋_GB2312"/>
          <w:kern w:val="0"/>
          <w:sz w:val="32"/>
          <w:szCs w:val="32"/>
        </w:rPr>
        <w:t>三次测量的均值；</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R:</w:t>
      </w:r>
      <w:r w:rsidRPr="00E155AD">
        <w:rPr>
          <w:rFonts w:eastAsia="仿宋_GB2312"/>
          <w:kern w:val="0"/>
          <w:sz w:val="32"/>
          <w:szCs w:val="32"/>
        </w:rPr>
        <w:t>相对极差。</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所得结果的批间相对极差（</w:t>
      </w:r>
      <w:r w:rsidRPr="00E155AD">
        <w:rPr>
          <w:rFonts w:eastAsia="仿宋_GB2312"/>
          <w:kern w:val="0"/>
          <w:sz w:val="32"/>
          <w:szCs w:val="32"/>
        </w:rPr>
        <w:t>R</w:t>
      </w:r>
      <w:r w:rsidRPr="00E155AD">
        <w:rPr>
          <w:rFonts w:eastAsia="仿宋_GB2312"/>
          <w:kern w:val="0"/>
          <w:sz w:val="32"/>
          <w:szCs w:val="32"/>
        </w:rPr>
        <w:t>）应不大于</w:t>
      </w:r>
      <w:r w:rsidRPr="00E155AD">
        <w:rPr>
          <w:rFonts w:eastAsia="仿宋_GB2312"/>
          <w:kern w:val="0"/>
          <w:sz w:val="32"/>
          <w:szCs w:val="32"/>
        </w:rPr>
        <w:t>10%</w:t>
      </w:r>
      <w:r w:rsidRPr="00E155AD">
        <w:rPr>
          <w:rFonts w:eastAsia="仿宋_GB2312"/>
          <w:kern w:val="0"/>
          <w:sz w:val="32"/>
          <w:szCs w:val="32"/>
        </w:rPr>
        <w:t>。</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5.</w:t>
      </w:r>
      <w:r w:rsidRPr="00E155AD">
        <w:rPr>
          <w:rFonts w:eastAsia="仿宋_GB2312"/>
          <w:kern w:val="0"/>
          <w:sz w:val="32"/>
          <w:szCs w:val="32"/>
        </w:rPr>
        <w:t>线性范围</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建立试剂线性范围所用的样本基质应尽可能与临床实际检测的样本相似，理想的样本为分析物浓度达到预期测定上限的样本，且应充分考虑多倍稀释对样本基质的影响。一般在预期测定范围内选择</w:t>
      </w:r>
      <w:r w:rsidRPr="00E155AD">
        <w:rPr>
          <w:rFonts w:eastAsia="仿宋_GB2312"/>
          <w:kern w:val="0"/>
          <w:sz w:val="32"/>
          <w:szCs w:val="32"/>
        </w:rPr>
        <w:t>5</w:t>
      </w:r>
      <w:r>
        <w:rPr>
          <w:rFonts w:eastAsia="仿宋_GB2312" w:hint="eastAsia"/>
          <w:kern w:val="0"/>
          <w:sz w:val="32"/>
          <w:szCs w:val="32"/>
        </w:rPr>
        <w:t>—</w:t>
      </w:r>
      <w:r w:rsidRPr="00E155AD">
        <w:rPr>
          <w:rFonts w:eastAsia="仿宋_GB2312"/>
          <w:kern w:val="0"/>
          <w:sz w:val="32"/>
          <w:szCs w:val="32"/>
        </w:rPr>
        <w:t>7</w:t>
      </w:r>
      <w:r w:rsidRPr="00E155AD">
        <w:rPr>
          <w:rFonts w:eastAsia="仿宋_GB2312"/>
          <w:kern w:val="0"/>
          <w:sz w:val="32"/>
          <w:szCs w:val="32"/>
        </w:rPr>
        <w:t>个浓度水平进行测试，试剂（盒）线性区间应覆盖</w:t>
      </w:r>
      <w:r w:rsidRPr="00E155AD">
        <w:rPr>
          <w:rFonts w:eastAsia="仿宋_GB2312"/>
          <w:kern w:val="0"/>
          <w:sz w:val="32"/>
          <w:szCs w:val="32"/>
        </w:rPr>
        <w:t>[40.0</w:t>
      </w:r>
      <w:r w:rsidRPr="00E155AD">
        <w:rPr>
          <w:rFonts w:eastAsia="仿宋_GB2312"/>
          <w:kern w:val="0"/>
          <w:sz w:val="32"/>
          <w:szCs w:val="32"/>
        </w:rPr>
        <w:t>，</w:t>
      </w:r>
      <w:r w:rsidRPr="00E155AD">
        <w:rPr>
          <w:rFonts w:eastAsia="仿宋_GB2312"/>
          <w:kern w:val="0"/>
          <w:sz w:val="32"/>
          <w:szCs w:val="32"/>
        </w:rPr>
        <w:t>120.0]U/mL</w:t>
      </w:r>
      <w:r w:rsidRPr="00E155AD">
        <w:rPr>
          <w:rFonts w:eastAsia="仿宋_GB2312"/>
          <w:kern w:val="0"/>
          <w:sz w:val="32"/>
          <w:szCs w:val="32"/>
        </w:rPr>
        <w:t>：</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1</w:t>
      </w:r>
      <w:r w:rsidRPr="00E155AD">
        <w:rPr>
          <w:rFonts w:eastAsia="仿宋_GB2312"/>
          <w:kern w:val="0"/>
          <w:sz w:val="32"/>
          <w:szCs w:val="32"/>
        </w:rPr>
        <w:t>）用接近线性区间下限的样本稀释接近线性区间上限的样本，混合成至少</w:t>
      </w:r>
      <w:r w:rsidRPr="00E155AD">
        <w:rPr>
          <w:rFonts w:eastAsia="仿宋_GB2312"/>
          <w:kern w:val="0"/>
          <w:sz w:val="32"/>
          <w:szCs w:val="32"/>
        </w:rPr>
        <w:t>5</w:t>
      </w:r>
      <w:r w:rsidRPr="00E155AD">
        <w:rPr>
          <w:rFonts w:eastAsia="仿宋_GB2312"/>
          <w:kern w:val="0"/>
          <w:sz w:val="32"/>
          <w:szCs w:val="32"/>
        </w:rPr>
        <w:t>个稀释浓度（</w:t>
      </w:r>
      <w:r w:rsidRPr="00E155AD">
        <w:rPr>
          <w:rFonts w:eastAsia="仿宋_GB2312"/>
          <w:kern w:val="0"/>
          <w:sz w:val="32"/>
          <w:szCs w:val="32"/>
        </w:rPr>
        <w:t>xi</w:t>
      </w:r>
      <w:r w:rsidRPr="00E155AD">
        <w:rPr>
          <w:rFonts w:eastAsia="仿宋_GB2312"/>
          <w:kern w:val="0"/>
          <w:sz w:val="32"/>
          <w:szCs w:val="32"/>
        </w:rPr>
        <w:t>）。用试剂（盒）分别测试以上样本，每个稀释浓度测试</w:t>
      </w:r>
      <w:r w:rsidRPr="00E155AD">
        <w:rPr>
          <w:rFonts w:eastAsia="仿宋_GB2312"/>
          <w:kern w:val="0"/>
          <w:sz w:val="32"/>
          <w:szCs w:val="32"/>
        </w:rPr>
        <w:t>3</w:t>
      </w:r>
      <w:r w:rsidRPr="00E155AD">
        <w:rPr>
          <w:rFonts w:eastAsia="仿宋_GB2312"/>
          <w:kern w:val="0"/>
          <w:sz w:val="32"/>
          <w:szCs w:val="32"/>
        </w:rPr>
        <w:t>次，分别求出每个稀释浓度检测结果的均值（</w:t>
      </w:r>
      <w:r w:rsidRPr="00E155AD">
        <w:rPr>
          <w:rFonts w:eastAsia="仿宋_GB2312"/>
          <w:kern w:val="0"/>
          <w:sz w:val="32"/>
          <w:szCs w:val="32"/>
        </w:rPr>
        <w:t>yi</w:t>
      </w:r>
      <w:r w:rsidRPr="00E155AD">
        <w:rPr>
          <w:rFonts w:eastAsia="仿宋_GB2312"/>
          <w:kern w:val="0"/>
          <w:sz w:val="32"/>
          <w:szCs w:val="32"/>
        </w:rPr>
        <w:t>）。以稀释浓度（</w:t>
      </w:r>
      <w:r w:rsidRPr="00E155AD">
        <w:rPr>
          <w:rFonts w:eastAsia="仿宋_GB2312"/>
          <w:kern w:val="0"/>
          <w:sz w:val="32"/>
          <w:szCs w:val="32"/>
        </w:rPr>
        <w:t>xi</w:t>
      </w:r>
      <w:r w:rsidRPr="00E155AD">
        <w:rPr>
          <w:rFonts w:eastAsia="仿宋_GB2312"/>
          <w:kern w:val="0"/>
          <w:sz w:val="32"/>
          <w:szCs w:val="32"/>
        </w:rPr>
        <w:t>）为自变量，以检测结果均值（</w:t>
      </w:r>
      <w:r w:rsidRPr="00E155AD">
        <w:rPr>
          <w:rFonts w:eastAsia="仿宋_GB2312"/>
          <w:kern w:val="0"/>
          <w:sz w:val="32"/>
          <w:szCs w:val="32"/>
        </w:rPr>
        <w:t>yi</w:t>
      </w:r>
      <w:r w:rsidRPr="00E155AD">
        <w:rPr>
          <w:rFonts w:eastAsia="仿宋_GB2312"/>
          <w:kern w:val="0"/>
          <w:sz w:val="32"/>
          <w:szCs w:val="32"/>
        </w:rPr>
        <w:t>）为因变量求出线性回归方程。计算线性回归的相关系数（</w:t>
      </w:r>
      <w:r w:rsidRPr="00E155AD">
        <w:rPr>
          <w:rFonts w:eastAsia="仿宋_GB2312"/>
          <w:kern w:val="0"/>
          <w:sz w:val="32"/>
          <w:szCs w:val="32"/>
        </w:rPr>
        <w:t>r</w:t>
      </w:r>
      <w:r w:rsidRPr="00E155AD">
        <w:rPr>
          <w:rFonts w:eastAsia="仿宋_GB2312"/>
          <w:kern w:val="0"/>
          <w:sz w:val="32"/>
          <w:szCs w:val="32"/>
        </w:rPr>
        <w:t>），线性相关系数</w:t>
      </w:r>
      <w:r w:rsidRPr="00E155AD">
        <w:rPr>
          <w:rFonts w:eastAsia="仿宋_GB2312" w:hint="eastAsia"/>
          <w:kern w:val="0"/>
          <w:sz w:val="32"/>
          <w:szCs w:val="32"/>
        </w:rPr>
        <w:t>︱</w:t>
      </w:r>
      <w:r w:rsidRPr="00E155AD">
        <w:rPr>
          <w:rFonts w:eastAsia="仿宋_GB2312"/>
          <w:kern w:val="0"/>
          <w:sz w:val="32"/>
          <w:szCs w:val="32"/>
        </w:rPr>
        <w:t>r</w:t>
      </w:r>
      <w:r w:rsidRPr="00E155AD">
        <w:rPr>
          <w:rFonts w:eastAsia="仿宋_GB2312" w:hint="eastAsia"/>
          <w:kern w:val="0"/>
          <w:sz w:val="32"/>
          <w:szCs w:val="32"/>
        </w:rPr>
        <w:t>︱应不小于</w:t>
      </w:r>
      <w:r w:rsidRPr="00E155AD">
        <w:rPr>
          <w:rFonts w:eastAsia="仿宋_GB2312"/>
          <w:kern w:val="0"/>
          <w:sz w:val="32"/>
          <w:szCs w:val="32"/>
        </w:rPr>
        <w:t>0.995</w:t>
      </w:r>
      <w:r w:rsidRPr="00E155AD">
        <w:rPr>
          <w:rFonts w:eastAsia="仿宋_GB2312"/>
          <w:kern w:val="0"/>
          <w:sz w:val="32"/>
          <w:szCs w:val="32"/>
        </w:rPr>
        <w:t>；</w:t>
      </w:r>
    </w:p>
    <w:p w:rsidR="00B43BE5" w:rsidRPr="00E155AD" w:rsidRDefault="00B43BE5" w:rsidP="00B43BE5">
      <w:pPr>
        <w:spacing w:line="520" w:lineRule="exact"/>
        <w:ind w:firstLine="640"/>
        <w:rPr>
          <w:rFonts w:eastAsia="仿宋_GB2312"/>
          <w:spacing w:val="-8"/>
          <w:kern w:val="0"/>
          <w:sz w:val="32"/>
          <w:szCs w:val="32"/>
        </w:rPr>
      </w:pPr>
      <w:r w:rsidRPr="00E155AD">
        <w:rPr>
          <w:rFonts w:eastAsia="仿宋_GB2312"/>
          <w:kern w:val="0"/>
          <w:sz w:val="32"/>
          <w:szCs w:val="32"/>
        </w:rPr>
        <w:t>（</w:t>
      </w:r>
      <w:r w:rsidRPr="00E155AD">
        <w:rPr>
          <w:rFonts w:eastAsia="仿宋_GB2312"/>
          <w:kern w:val="0"/>
          <w:sz w:val="32"/>
          <w:szCs w:val="32"/>
        </w:rPr>
        <w:t>2</w:t>
      </w:r>
      <w:r w:rsidRPr="00E155AD">
        <w:rPr>
          <w:rFonts w:eastAsia="仿宋_GB2312"/>
          <w:kern w:val="0"/>
          <w:sz w:val="32"/>
          <w:szCs w:val="32"/>
        </w:rPr>
        <w:t>）</w:t>
      </w:r>
      <w:r w:rsidRPr="00E155AD">
        <w:rPr>
          <w:rFonts w:eastAsia="仿宋_GB2312"/>
          <w:spacing w:val="-8"/>
          <w:kern w:val="0"/>
          <w:sz w:val="32"/>
          <w:szCs w:val="32"/>
        </w:rPr>
        <w:t>用（</w:t>
      </w:r>
      <w:r w:rsidRPr="00E155AD">
        <w:rPr>
          <w:rFonts w:eastAsia="仿宋_GB2312"/>
          <w:spacing w:val="-8"/>
          <w:kern w:val="0"/>
          <w:sz w:val="32"/>
          <w:szCs w:val="32"/>
        </w:rPr>
        <w:t>1</w:t>
      </w:r>
      <w:r w:rsidRPr="00E155AD">
        <w:rPr>
          <w:rFonts w:eastAsia="仿宋_GB2312"/>
          <w:spacing w:val="-8"/>
          <w:kern w:val="0"/>
          <w:sz w:val="32"/>
          <w:szCs w:val="32"/>
        </w:rPr>
        <w:t>）中稀释浓度（</w:t>
      </w:r>
      <w:r w:rsidRPr="00E155AD">
        <w:rPr>
          <w:rFonts w:eastAsia="仿宋_GB2312"/>
          <w:spacing w:val="-8"/>
          <w:kern w:val="0"/>
          <w:sz w:val="32"/>
          <w:szCs w:val="32"/>
        </w:rPr>
        <w:t>xi</w:t>
      </w:r>
      <w:r w:rsidRPr="00E155AD">
        <w:rPr>
          <w:rFonts w:eastAsia="仿宋_GB2312"/>
          <w:spacing w:val="-8"/>
          <w:kern w:val="0"/>
          <w:sz w:val="32"/>
          <w:szCs w:val="32"/>
        </w:rPr>
        <w:t>）代入线性回归方程，计算</w:t>
      </w:r>
      <w:bookmarkStart w:id="0" w:name="OLE_LINK1"/>
      <w:r w:rsidRPr="00E155AD">
        <w:rPr>
          <w:rFonts w:eastAsia="仿宋_GB2312"/>
          <w:spacing w:val="-8"/>
          <w:kern w:val="0"/>
          <w:sz w:val="32"/>
          <w:szCs w:val="32"/>
        </w:rPr>
        <w:t>yi</w:t>
      </w:r>
      <w:bookmarkEnd w:id="0"/>
      <w:r w:rsidRPr="00E155AD">
        <w:rPr>
          <w:rFonts w:eastAsia="仿宋_GB2312"/>
          <w:spacing w:val="-8"/>
          <w:kern w:val="0"/>
          <w:sz w:val="32"/>
          <w:szCs w:val="32"/>
        </w:rPr>
        <w:t>测试均值与相应估计值的相对偏差或绝对偏差，在</w:t>
      </w:r>
      <w:r w:rsidRPr="00E155AD">
        <w:rPr>
          <w:rFonts w:eastAsia="仿宋_GB2312"/>
          <w:spacing w:val="-8"/>
          <w:kern w:val="0"/>
          <w:sz w:val="32"/>
          <w:szCs w:val="32"/>
        </w:rPr>
        <w:t>[40.0</w:t>
      </w:r>
      <w:r w:rsidRPr="00E155AD">
        <w:rPr>
          <w:rFonts w:eastAsia="仿宋_GB2312" w:hint="eastAsia"/>
          <w:spacing w:val="-8"/>
          <w:kern w:val="0"/>
          <w:sz w:val="32"/>
          <w:szCs w:val="32"/>
        </w:rPr>
        <w:t>—</w:t>
      </w:r>
      <w:r w:rsidRPr="00E155AD">
        <w:rPr>
          <w:rFonts w:eastAsia="仿宋_GB2312"/>
          <w:spacing w:val="-8"/>
          <w:kern w:val="0"/>
          <w:sz w:val="32"/>
          <w:szCs w:val="32"/>
        </w:rPr>
        <w:t xml:space="preserve">120.0]U/mL </w:t>
      </w:r>
      <w:r w:rsidRPr="00E155AD">
        <w:rPr>
          <w:rFonts w:eastAsia="仿宋_GB2312"/>
          <w:spacing w:val="-8"/>
          <w:kern w:val="0"/>
          <w:sz w:val="32"/>
          <w:szCs w:val="32"/>
        </w:rPr>
        <w:t>区间内，线性相对偏差应不超过</w:t>
      </w:r>
      <w:r w:rsidRPr="00E155AD">
        <w:rPr>
          <w:rFonts w:eastAsia="仿宋_GB2312"/>
          <w:spacing w:val="-8"/>
          <w:kern w:val="0"/>
          <w:sz w:val="32"/>
          <w:szCs w:val="32"/>
        </w:rPr>
        <w:t>±10</w:t>
      </w:r>
      <w:r w:rsidRPr="00E155AD">
        <w:rPr>
          <w:rFonts w:eastAsia="仿宋_GB2312"/>
          <w:spacing w:val="-8"/>
          <w:kern w:val="0"/>
          <w:sz w:val="32"/>
          <w:szCs w:val="32"/>
        </w:rPr>
        <w:t>％。</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6.</w:t>
      </w:r>
      <w:r w:rsidRPr="00E155AD">
        <w:rPr>
          <w:rFonts w:eastAsia="仿宋_GB2312"/>
          <w:kern w:val="0"/>
          <w:sz w:val="32"/>
          <w:szCs w:val="32"/>
        </w:rPr>
        <w:t>分析特异性</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对样本中常见干扰物质，如抗凝物质、溶血（血红蛋白）、高脂、高胆红素等进行检测，确定可接受干扰物质的最高限值。</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7.</w:t>
      </w:r>
      <w:r w:rsidRPr="00E155AD">
        <w:rPr>
          <w:rFonts w:eastAsia="仿宋_GB2312"/>
          <w:kern w:val="0"/>
          <w:sz w:val="32"/>
          <w:szCs w:val="32"/>
        </w:rPr>
        <w:t>校准品溯源及质控品赋值</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应参照</w:t>
      </w:r>
      <w:r w:rsidRPr="00E155AD">
        <w:rPr>
          <w:rFonts w:eastAsia="仿宋_GB2312"/>
          <w:kern w:val="0"/>
          <w:sz w:val="32"/>
          <w:szCs w:val="32"/>
        </w:rPr>
        <w:t>GB/T 21415—2008</w:t>
      </w:r>
      <w:r w:rsidRPr="00E155AD">
        <w:rPr>
          <w:rFonts w:eastAsia="仿宋_GB2312"/>
          <w:kern w:val="0"/>
          <w:sz w:val="32"/>
          <w:szCs w:val="32"/>
        </w:rPr>
        <w:t>《体外诊断医疗器械生物样品中量的测量校准品和控制物质赋值的计量学溯源性》的要求，提供</w:t>
      </w:r>
      <w:r w:rsidRPr="00E155AD">
        <w:rPr>
          <w:rFonts w:eastAsia="仿宋_GB2312"/>
          <w:kern w:val="0"/>
          <w:sz w:val="32"/>
          <w:szCs w:val="32"/>
        </w:rPr>
        <w:lastRenderedPageBreak/>
        <w:t>企业（工作）校准品及试剂盒配套校准品定值及不确定度计算记录，提供质控品赋值及其靶值范围确定的记录。</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8.</w:t>
      </w:r>
      <w:r w:rsidRPr="00E155AD">
        <w:rPr>
          <w:rFonts w:eastAsia="仿宋_GB2312"/>
          <w:kern w:val="0"/>
          <w:sz w:val="32"/>
          <w:szCs w:val="32"/>
        </w:rPr>
        <w:t>其他需注意问题</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对于适用多个机型的产品，应提供如产品说明书【适用机型】项中所列的所有型号仪器的性能评估资料。</w:t>
      </w:r>
    </w:p>
    <w:p w:rsidR="00B43BE5" w:rsidRPr="00E155AD" w:rsidRDefault="00B43BE5" w:rsidP="00B43BE5">
      <w:pPr>
        <w:spacing w:line="520" w:lineRule="exact"/>
        <w:ind w:firstLine="640"/>
        <w:rPr>
          <w:rFonts w:ascii="楷体_GB2312" w:eastAsia="楷体_GB2312" w:hint="eastAsia"/>
          <w:bCs/>
          <w:sz w:val="32"/>
          <w:szCs w:val="30"/>
        </w:rPr>
      </w:pPr>
      <w:r w:rsidRPr="00E155AD">
        <w:rPr>
          <w:rFonts w:ascii="楷体_GB2312" w:eastAsia="楷体_GB2312" w:hint="eastAsia"/>
          <w:bCs/>
          <w:sz w:val="32"/>
          <w:szCs w:val="30"/>
        </w:rPr>
        <w:t>（五）参考值（区间）确定资料</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应提交验证阳性判断值或者参考区间所采用样本来源及详细的试验资料。</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应明确参考人群的筛选标准，研究各组（如性别、年龄等）例数不应低于</w:t>
      </w:r>
      <w:r w:rsidRPr="00E155AD">
        <w:rPr>
          <w:rFonts w:eastAsia="仿宋_GB2312"/>
          <w:kern w:val="0"/>
          <w:sz w:val="32"/>
          <w:szCs w:val="32"/>
        </w:rPr>
        <w:t>120</w:t>
      </w:r>
      <w:r w:rsidRPr="00E155AD">
        <w:rPr>
          <w:rFonts w:eastAsia="仿宋_GB2312"/>
          <w:kern w:val="0"/>
          <w:sz w:val="32"/>
          <w:szCs w:val="32"/>
        </w:rPr>
        <w:t>例。</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参考值研究结果应在说明书【阳性判断值或者参考区间】项中进行相应说明。</w:t>
      </w:r>
    </w:p>
    <w:p w:rsidR="00B43BE5" w:rsidRPr="00E155AD" w:rsidRDefault="00B43BE5" w:rsidP="00B43BE5">
      <w:pPr>
        <w:spacing w:line="520" w:lineRule="exact"/>
        <w:ind w:firstLine="640"/>
        <w:rPr>
          <w:rFonts w:ascii="楷体_GB2312" w:eastAsia="楷体_GB2312" w:hint="eastAsia"/>
          <w:bCs/>
          <w:sz w:val="32"/>
          <w:szCs w:val="30"/>
        </w:rPr>
      </w:pPr>
      <w:r w:rsidRPr="00E155AD">
        <w:rPr>
          <w:rFonts w:ascii="楷体_GB2312" w:eastAsia="楷体_GB2312" w:hint="eastAsia"/>
          <w:bCs/>
          <w:sz w:val="32"/>
          <w:szCs w:val="30"/>
        </w:rPr>
        <w:t>（六）稳定性研究资料</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包括至少三批样品在实际储存条件下保存至成品有效期后的实时稳定性研究资料，并应当充分考虑产品在储存、运输和使用过程中的不利条件，进行相应的稳定性研究。应当详细说明稳定性研究方法的确定依据及具体试验方法、过程。</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本试剂用于对心肌缺血性疾病的辅助判断，而心肌缺血时，</w:t>
      </w:r>
      <w:r w:rsidRPr="00E155AD">
        <w:rPr>
          <w:rFonts w:eastAsia="仿宋_GB2312"/>
          <w:kern w:val="0"/>
          <w:sz w:val="32"/>
          <w:szCs w:val="32"/>
        </w:rPr>
        <w:t>IMA</w:t>
      </w:r>
      <w:r w:rsidRPr="00E155AD">
        <w:rPr>
          <w:rFonts w:eastAsia="仿宋_GB2312"/>
          <w:kern w:val="0"/>
          <w:sz w:val="32"/>
          <w:szCs w:val="32"/>
        </w:rPr>
        <w:t>可在数分钟内升高</w:t>
      </w:r>
      <w:r w:rsidRPr="00E155AD">
        <w:rPr>
          <w:rFonts w:eastAsia="仿宋_GB2312"/>
          <w:kern w:val="0"/>
          <w:sz w:val="32"/>
          <w:szCs w:val="32"/>
        </w:rPr>
        <w:t>,</w:t>
      </w:r>
      <w:r w:rsidRPr="00E155AD">
        <w:rPr>
          <w:rFonts w:eastAsia="仿宋_GB2312"/>
          <w:kern w:val="0"/>
          <w:sz w:val="32"/>
          <w:szCs w:val="32"/>
        </w:rPr>
        <w:t>缺血缓解后</w:t>
      </w:r>
      <w:r w:rsidRPr="00E155AD">
        <w:rPr>
          <w:rFonts w:eastAsia="仿宋_GB2312"/>
          <w:kern w:val="0"/>
          <w:sz w:val="32"/>
          <w:szCs w:val="32"/>
        </w:rPr>
        <w:t>6</w:t>
      </w:r>
      <w:r>
        <w:rPr>
          <w:rFonts w:eastAsia="仿宋_GB2312" w:hint="eastAsia"/>
          <w:kern w:val="0"/>
          <w:sz w:val="32"/>
          <w:szCs w:val="32"/>
        </w:rPr>
        <w:t>—</w:t>
      </w:r>
      <w:r w:rsidRPr="00E155AD">
        <w:rPr>
          <w:rFonts w:eastAsia="仿宋_GB2312"/>
          <w:kern w:val="0"/>
          <w:sz w:val="32"/>
          <w:szCs w:val="32"/>
        </w:rPr>
        <w:t>12h</w:t>
      </w:r>
      <w:r w:rsidRPr="00E155AD">
        <w:rPr>
          <w:rFonts w:eastAsia="仿宋_GB2312"/>
          <w:kern w:val="0"/>
          <w:sz w:val="32"/>
          <w:szCs w:val="32"/>
        </w:rPr>
        <w:t>左右回到基础水平，故样本稳定性的研究对于实验的成败也至关重要，因此，应提供对样本贮存条件、存放时间等方面的详细研究资料。适于冷冻保存的样本还应对冻融次数进行评价。</w:t>
      </w:r>
    </w:p>
    <w:p w:rsidR="00B43BE5" w:rsidRPr="00E155AD" w:rsidRDefault="00B43BE5" w:rsidP="00B43BE5">
      <w:pPr>
        <w:spacing w:line="520" w:lineRule="exact"/>
        <w:ind w:firstLine="640"/>
        <w:rPr>
          <w:rFonts w:ascii="楷体_GB2312" w:eastAsia="楷体_GB2312"/>
          <w:bCs/>
          <w:sz w:val="32"/>
          <w:szCs w:val="30"/>
        </w:rPr>
      </w:pPr>
      <w:r w:rsidRPr="00E155AD">
        <w:rPr>
          <w:rFonts w:ascii="楷体_GB2312" w:eastAsia="楷体_GB2312"/>
          <w:bCs/>
          <w:sz w:val="32"/>
          <w:szCs w:val="30"/>
        </w:rPr>
        <w:t>（七）临床评价资料</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临床研究资料应符合《关于发布体外诊断试剂临床试验技术指导原则的通告》（国家食品药品监督管理总局通告</w:t>
      </w:r>
      <w:r w:rsidRPr="00E155AD">
        <w:rPr>
          <w:rFonts w:eastAsia="仿宋_GB2312"/>
          <w:kern w:val="0"/>
          <w:sz w:val="32"/>
          <w:szCs w:val="32"/>
        </w:rPr>
        <w:t>2014</w:t>
      </w:r>
      <w:r w:rsidRPr="00E155AD">
        <w:rPr>
          <w:rFonts w:eastAsia="仿宋_GB2312"/>
          <w:kern w:val="0"/>
          <w:sz w:val="32"/>
          <w:szCs w:val="32"/>
        </w:rPr>
        <w:t>年第</w:t>
      </w:r>
      <w:r w:rsidRPr="00E155AD">
        <w:rPr>
          <w:rFonts w:eastAsia="仿宋_GB2312"/>
          <w:kern w:val="0"/>
          <w:sz w:val="32"/>
          <w:szCs w:val="32"/>
        </w:rPr>
        <w:lastRenderedPageBreak/>
        <w:t>16</w:t>
      </w:r>
      <w:r w:rsidRPr="00E155AD">
        <w:rPr>
          <w:rFonts w:eastAsia="仿宋_GB2312"/>
          <w:kern w:val="0"/>
          <w:sz w:val="32"/>
          <w:szCs w:val="32"/>
        </w:rPr>
        <w:t>号）的要求，同时研究资料的形式应符合《体外诊断试剂注册申报资料要求和批准证明文件格式》中临床研究资料有关的规定。下面仅对临床实验中的基本问题进行阐述。</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1.</w:t>
      </w:r>
      <w:r w:rsidRPr="00E155AD">
        <w:rPr>
          <w:rFonts w:eastAsia="仿宋_GB2312"/>
          <w:kern w:val="0"/>
          <w:sz w:val="32"/>
          <w:szCs w:val="32"/>
        </w:rPr>
        <w:t>研究方法</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选择境内已批准上市的性能相近的同类产品作为参比试剂，采用拟申报产品与之进行对比试验研究，证明本品与已上市产品等效或优于已上市产品。建议企业尽量选择方法学相同、线性范围及精密度等性能接近的同类试剂作为参比试剂。</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2.</w:t>
      </w:r>
      <w:r w:rsidRPr="00E155AD">
        <w:rPr>
          <w:rFonts w:eastAsia="仿宋_GB2312"/>
          <w:kern w:val="0"/>
          <w:sz w:val="32"/>
          <w:szCs w:val="32"/>
        </w:rPr>
        <w:t>临床研究单位的选择</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应选择至少两家获得国家食品药品监督管理总局资质认可的医疗机构，临床研究单位实验操作人员应有足够的时间熟悉检测系统的各环节（试剂、质控及操作程序等），熟悉评价方案。在整个实验中，考核试剂和参比试剂都应处于有效的质量控制下，定期对仪器进行校准、保养，最大限度保证试验数据的准确性及可重复性。</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3.</w:t>
      </w:r>
      <w:r w:rsidRPr="00E155AD">
        <w:rPr>
          <w:rFonts w:eastAsia="仿宋_GB2312"/>
          <w:kern w:val="0"/>
          <w:sz w:val="32"/>
          <w:szCs w:val="32"/>
        </w:rPr>
        <w:t>临床试验方案</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临床试验实施前，研究人员应从流行病学、统计学、临床医学、检验医学等多方面考虑，设计科学合理的临床研究方案。各临床研究机构的方案设置应基本一致，且保证在整个临床试验过程中遵循预定的方案实施，不可随意改动。整个试验过程应在临床研究机构的实验室内并由本实验室的技术人员操作完成，申报单位的技术人员除进行必要的技术指导外，不得随意干涉实验进程，尤其是数据收集过程。</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试验方案中应确定严格的病例纳入</w:t>
      </w:r>
      <w:r w:rsidRPr="00E155AD">
        <w:rPr>
          <w:rFonts w:eastAsia="仿宋_GB2312"/>
          <w:kern w:val="0"/>
          <w:sz w:val="32"/>
          <w:szCs w:val="32"/>
        </w:rPr>
        <w:t>/</w:t>
      </w:r>
      <w:r w:rsidRPr="00E155AD">
        <w:rPr>
          <w:rFonts w:eastAsia="仿宋_GB2312"/>
          <w:kern w:val="0"/>
          <w:sz w:val="32"/>
          <w:szCs w:val="32"/>
        </w:rPr>
        <w:t>排除标准，任何已经入选的病例再被排除出临床研究都应记录在案并明确说明原因。在</w:t>
      </w:r>
      <w:r w:rsidRPr="00E155AD">
        <w:rPr>
          <w:rFonts w:eastAsia="仿宋_GB2312"/>
          <w:kern w:val="0"/>
          <w:sz w:val="32"/>
          <w:szCs w:val="32"/>
        </w:rPr>
        <w:lastRenderedPageBreak/>
        <w:t>试验操作过程中和判定试验结果时应采用盲法以保证试验结果的客观性。临床试验中所涉及的样本类型应与产品说明书一致，且不应超越参比试剂对样本类型的检测要求，</w:t>
      </w:r>
      <w:r w:rsidRPr="00E155AD" w:rsidDel="00075F9E">
        <w:rPr>
          <w:rFonts w:eastAsia="仿宋_GB2312"/>
          <w:kern w:val="0"/>
          <w:sz w:val="32"/>
          <w:szCs w:val="32"/>
        </w:rPr>
        <w:t xml:space="preserve"> </w:t>
      </w:r>
      <w:r w:rsidRPr="00E155AD">
        <w:rPr>
          <w:rFonts w:eastAsia="仿宋_GB2312"/>
          <w:kern w:val="0"/>
          <w:sz w:val="32"/>
          <w:szCs w:val="32"/>
        </w:rPr>
        <w:t>开展体外诊断试剂临床试验，申请人应当按照试验用体外诊断试剂的类别、风险、预期用途等特性，组织制定科学、合理的临床试验方案。一般应当包括以下内容：</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1</w:t>
      </w:r>
      <w:r w:rsidRPr="00E155AD">
        <w:rPr>
          <w:rFonts w:eastAsia="仿宋_GB2312"/>
          <w:kern w:val="0"/>
          <w:sz w:val="32"/>
          <w:szCs w:val="32"/>
        </w:rPr>
        <w:t>）一般信息（包括产品信息、临床试验开展的时间和人员等相关信息、申请人相关信息等）；</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2</w:t>
      </w:r>
      <w:r w:rsidRPr="00E155AD">
        <w:rPr>
          <w:rFonts w:eastAsia="仿宋_GB2312"/>
          <w:kern w:val="0"/>
          <w:sz w:val="32"/>
          <w:szCs w:val="32"/>
        </w:rPr>
        <w:t>）临床试验的背景资料；</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3</w:t>
      </w:r>
      <w:r w:rsidRPr="00E155AD">
        <w:rPr>
          <w:rFonts w:eastAsia="仿宋_GB2312"/>
          <w:kern w:val="0"/>
          <w:sz w:val="32"/>
          <w:szCs w:val="32"/>
        </w:rPr>
        <w:t>）试验目的；</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4</w:t>
      </w:r>
      <w:r w:rsidRPr="00E155AD">
        <w:rPr>
          <w:rFonts w:eastAsia="仿宋_GB2312"/>
          <w:kern w:val="0"/>
          <w:sz w:val="32"/>
          <w:szCs w:val="32"/>
        </w:rPr>
        <w:t>）试验设计；</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5</w:t>
      </w:r>
      <w:r w:rsidRPr="00E155AD">
        <w:rPr>
          <w:rFonts w:eastAsia="仿宋_GB2312"/>
          <w:kern w:val="0"/>
          <w:sz w:val="32"/>
          <w:szCs w:val="32"/>
        </w:rPr>
        <w:t>）评价方法；</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6</w:t>
      </w:r>
      <w:r w:rsidRPr="00E155AD">
        <w:rPr>
          <w:rFonts w:eastAsia="仿宋_GB2312"/>
          <w:kern w:val="0"/>
          <w:sz w:val="32"/>
          <w:szCs w:val="32"/>
        </w:rPr>
        <w:t>）统计方法；</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7</w:t>
      </w:r>
      <w:r w:rsidRPr="00E155AD">
        <w:rPr>
          <w:rFonts w:eastAsia="仿宋_GB2312"/>
          <w:kern w:val="0"/>
          <w:sz w:val="32"/>
          <w:szCs w:val="32"/>
        </w:rPr>
        <w:t>）对临床试验方案修正的规定；</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8</w:t>
      </w:r>
      <w:r w:rsidRPr="00E155AD">
        <w:rPr>
          <w:rFonts w:eastAsia="仿宋_GB2312"/>
          <w:kern w:val="0"/>
          <w:sz w:val="32"/>
          <w:szCs w:val="32"/>
        </w:rPr>
        <w:t>）临床试验涉及的伦理问题和说明、《知情同意书》文本（如有）；</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9</w:t>
      </w:r>
      <w:r w:rsidRPr="00E155AD">
        <w:rPr>
          <w:rFonts w:eastAsia="仿宋_GB2312"/>
          <w:kern w:val="0"/>
          <w:sz w:val="32"/>
          <w:szCs w:val="32"/>
        </w:rPr>
        <w:t>）数据处理与记录保存</w:t>
      </w:r>
      <w:r w:rsidRPr="00E155AD">
        <w:rPr>
          <w:rFonts w:eastAsia="仿宋_GB2312"/>
          <w:kern w:val="0"/>
          <w:sz w:val="32"/>
          <w:szCs w:val="32"/>
        </w:rPr>
        <w:t>;</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10</w:t>
      </w:r>
      <w:r w:rsidRPr="00E155AD">
        <w:rPr>
          <w:rFonts w:eastAsia="仿宋_GB2312"/>
          <w:kern w:val="0"/>
          <w:sz w:val="32"/>
          <w:szCs w:val="32"/>
        </w:rPr>
        <w:t>）其他需要说明的内容。</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4.</w:t>
      </w:r>
      <w:r w:rsidRPr="00E155AD">
        <w:rPr>
          <w:rFonts w:eastAsia="仿宋_GB2312"/>
          <w:kern w:val="0"/>
          <w:sz w:val="32"/>
          <w:szCs w:val="32"/>
        </w:rPr>
        <w:t>研究对象的选择</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选择具有特定症状</w:t>
      </w:r>
      <w:r w:rsidRPr="00E155AD">
        <w:rPr>
          <w:rFonts w:eastAsia="仿宋_GB2312"/>
          <w:kern w:val="0"/>
          <w:sz w:val="32"/>
          <w:szCs w:val="32"/>
        </w:rPr>
        <w:t>/</w:t>
      </w:r>
      <w:r w:rsidRPr="00E155AD">
        <w:rPr>
          <w:rFonts w:eastAsia="仿宋_GB2312"/>
          <w:kern w:val="0"/>
          <w:sz w:val="32"/>
          <w:szCs w:val="32"/>
        </w:rPr>
        <w:t>体征人群作为研究对象。企业在建立病例纳入标准时，应考虑到不同人群的差异，尽量覆盖各类适用人群。在进行结果统计分析时，建议对各类人群分别进行数据统计分析。总体样本数不少于</w:t>
      </w:r>
      <w:r w:rsidRPr="00E155AD">
        <w:rPr>
          <w:rFonts w:eastAsia="仿宋_GB2312"/>
          <w:kern w:val="0"/>
          <w:sz w:val="32"/>
          <w:szCs w:val="32"/>
        </w:rPr>
        <w:t>200</w:t>
      </w:r>
      <w:r w:rsidRPr="00E155AD">
        <w:rPr>
          <w:rFonts w:eastAsia="仿宋_GB2312"/>
          <w:kern w:val="0"/>
          <w:sz w:val="32"/>
          <w:szCs w:val="32"/>
        </w:rPr>
        <w:t>例，样本选择应覆盖线性范围，充分考虑异常值样本，异常值样本数不少于</w:t>
      </w:r>
      <w:r w:rsidRPr="00E155AD">
        <w:rPr>
          <w:rFonts w:eastAsia="仿宋_GB2312"/>
          <w:kern w:val="0"/>
          <w:sz w:val="32"/>
          <w:szCs w:val="32"/>
        </w:rPr>
        <w:t>60</w:t>
      </w:r>
      <w:r w:rsidRPr="00E155AD">
        <w:rPr>
          <w:rFonts w:eastAsia="仿宋_GB2312"/>
          <w:kern w:val="0"/>
          <w:sz w:val="32"/>
          <w:szCs w:val="32"/>
        </w:rPr>
        <w:t>例。</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血清应明确存储条件、可否冻融等要求及避免使用的样本。</w:t>
      </w:r>
      <w:r w:rsidRPr="00E155AD">
        <w:rPr>
          <w:rFonts w:eastAsia="仿宋_GB2312"/>
          <w:kern w:val="0"/>
          <w:sz w:val="32"/>
          <w:szCs w:val="32"/>
        </w:rPr>
        <w:lastRenderedPageBreak/>
        <w:t>实验中，尽可能使用新鲜样本，避免贮存，如无法避免使用贮存样品时，注明贮存条件及时间，在数据分析时应考虑其影响。</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样本中待测物浓度应覆盖考核试剂线性范围，且尽可能均匀分布。</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申报的样本类型均应在临床试验中进行验证。如果声称可检测其他样本，则每增加一种具有可比性的样本类型，相应样本类型的试验例数应增加不少于</w:t>
      </w:r>
      <w:r w:rsidRPr="00E155AD">
        <w:rPr>
          <w:rFonts w:eastAsia="仿宋_GB2312"/>
          <w:kern w:val="0"/>
          <w:sz w:val="32"/>
          <w:szCs w:val="32"/>
        </w:rPr>
        <w:t>100</w:t>
      </w:r>
      <w:r w:rsidRPr="00E155AD">
        <w:rPr>
          <w:rFonts w:eastAsia="仿宋_GB2312"/>
          <w:kern w:val="0"/>
          <w:sz w:val="32"/>
          <w:szCs w:val="32"/>
        </w:rPr>
        <w:t>例。如产品发生涉及检测条件优化、增加与原样本类型具有可比性的其他样本类型等变更事项，临床样本总数至少为</w:t>
      </w:r>
      <w:r w:rsidRPr="00E155AD">
        <w:rPr>
          <w:rFonts w:eastAsia="仿宋_GB2312"/>
          <w:kern w:val="0"/>
          <w:sz w:val="32"/>
          <w:szCs w:val="32"/>
        </w:rPr>
        <w:t>100</w:t>
      </w:r>
      <w:r w:rsidRPr="00E155AD">
        <w:rPr>
          <w:rFonts w:eastAsia="仿宋_GB2312"/>
          <w:kern w:val="0"/>
          <w:sz w:val="32"/>
          <w:szCs w:val="32"/>
        </w:rPr>
        <w:t>例，并在至少</w:t>
      </w:r>
      <w:r w:rsidRPr="00E155AD">
        <w:rPr>
          <w:rFonts w:eastAsia="仿宋_GB2312"/>
          <w:kern w:val="0"/>
          <w:sz w:val="32"/>
          <w:szCs w:val="32"/>
        </w:rPr>
        <w:t>2</w:t>
      </w:r>
      <w:r w:rsidRPr="00E155AD">
        <w:rPr>
          <w:rFonts w:eastAsia="仿宋_GB2312"/>
          <w:kern w:val="0"/>
          <w:sz w:val="32"/>
          <w:szCs w:val="32"/>
        </w:rPr>
        <w:t>家（含</w:t>
      </w:r>
      <w:r w:rsidRPr="00E155AD">
        <w:rPr>
          <w:rFonts w:eastAsia="仿宋_GB2312"/>
          <w:kern w:val="0"/>
          <w:sz w:val="32"/>
          <w:szCs w:val="32"/>
        </w:rPr>
        <w:t>2</w:t>
      </w:r>
      <w:r w:rsidRPr="00E155AD">
        <w:rPr>
          <w:rFonts w:eastAsia="仿宋_GB2312"/>
          <w:kern w:val="0"/>
          <w:sz w:val="32"/>
          <w:szCs w:val="32"/>
        </w:rPr>
        <w:t>家）临床试验机构开展临床试验；变更主要原材料的供应商、参考区间的变化及增加临床适应症等变更事项，应根据产品具体变更情况，酌情增加临床试验总样本数。</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5.</w:t>
      </w:r>
      <w:r w:rsidRPr="00E155AD">
        <w:rPr>
          <w:rFonts w:eastAsia="仿宋_GB2312"/>
          <w:kern w:val="0"/>
          <w:sz w:val="32"/>
          <w:szCs w:val="32"/>
        </w:rPr>
        <w:t>统计学分析</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对临床试验结果的统计应选择合适的统计方法，如相关分析、线性回归等。建议统计学负责人选择合理的统计学方法进行分析，统计分析应可以证明两种方法的检测结果无统计学差异。在临床研究方案中应明确统计检验假设，即评价考核试剂与参比试剂是否等效的标准。</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6.</w:t>
      </w:r>
      <w:r w:rsidRPr="00E155AD">
        <w:rPr>
          <w:rFonts w:eastAsia="仿宋_GB2312"/>
          <w:kern w:val="0"/>
          <w:sz w:val="32"/>
          <w:szCs w:val="32"/>
        </w:rPr>
        <w:t>结果差异样本的验证</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在数据收集过程中，对于两种试剂的检测结果有明显差异的样本，应采用临床上普遍认为质量较好的第三种同类试剂进行验证试验，同时结合患者的临床病情对差异原因及可能结果进行分析。如无需复核，应详细说明理由。</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7.</w:t>
      </w:r>
      <w:r w:rsidRPr="00E155AD">
        <w:rPr>
          <w:rFonts w:eastAsia="仿宋_GB2312"/>
          <w:kern w:val="0"/>
          <w:sz w:val="32"/>
          <w:szCs w:val="32"/>
        </w:rPr>
        <w:t>临床试验总结报告撰写</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根据《体外诊断试剂临床试验技术指导原则》的要求，临床</w:t>
      </w:r>
      <w:r w:rsidRPr="00E155AD">
        <w:rPr>
          <w:rFonts w:eastAsia="仿宋_GB2312"/>
          <w:kern w:val="0"/>
          <w:sz w:val="32"/>
          <w:szCs w:val="32"/>
        </w:rPr>
        <w:lastRenderedPageBreak/>
        <w:t>试验报告应该对试验的整体设计及各个关键点给予清晰、完整的阐述，应该对整个临床试验实施过程、结果分析、结论等进行条理分明的描述，并应包括必要的基础数据和统计分析方法。建议在临床总结报告中对以下内容进行详述。</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申请人或临床试验牵头单位应对各临床试验机构的报告进行汇总，并完成临床试验总结报告。临床试验报告的格式及内容如下：</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7.1</w:t>
      </w:r>
      <w:r w:rsidRPr="00E155AD">
        <w:rPr>
          <w:rFonts w:eastAsia="仿宋_GB2312"/>
          <w:kern w:val="0"/>
          <w:sz w:val="32"/>
          <w:szCs w:val="32"/>
        </w:rPr>
        <w:t>首篇</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首篇是每份临床试验报告的第一部分，所有临床试验报告均应包含该部分内容。</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IsROCDate" w:val="False"/>
          <w:attr w:name="IsLunarDate" w:val="False"/>
          <w:attr w:name="Day" w:val="30"/>
          <w:attr w:name="Month" w:val="12"/>
          <w:attr w:name="Year" w:val="1899"/>
        </w:smartTagPr>
        <w:r w:rsidRPr="00E155AD">
          <w:rPr>
            <w:rFonts w:eastAsia="仿宋_GB2312"/>
            <w:kern w:val="0"/>
            <w:sz w:val="32"/>
            <w:szCs w:val="32"/>
          </w:rPr>
          <w:t>7.1.1</w:t>
        </w:r>
      </w:smartTag>
      <w:r w:rsidRPr="00E155AD">
        <w:rPr>
          <w:rFonts w:eastAsia="仿宋_GB2312"/>
          <w:kern w:val="0"/>
          <w:sz w:val="32"/>
          <w:szCs w:val="32"/>
        </w:rPr>
        <w:t>封面标题</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包括试验用体外诊断试剂的通用名称、试验开始日期、试验完成日期、主要研究者（签名）、临床试验机构（盖章）、统计学负责人签名及单位盖章、申请人（盖章）、申请人的联系人及联系方式、报告日期、原始资料保存地点。</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7.1.2</w:t>
        </w:r>
      </w:smartTag>
      <w:r w:rsidRPr="00E155AD">
        <w:rPr>
          <w:rFonts w:eastAsia="仿宋_GB2312"/>
          <w:kern w:val="0"/>
          <w:sz w:val="32"/>
          <w:szCs w:val="32"/>
        </w:rPr>
        <w:t>目录</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列出整个临床试验报告的内容目录和对应页码。</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7.1.3</w:t>
        </w:r>
      </w:smartTag>
      <w:r w:rsidRPr="00E155AD">
        <w:rPr>
          <w:rFonts w:eastAsia="仿宋_GB2312"/>
          <w:kern w:val="0"/>
          <w:sz w:val="32"/>
          <w:szCs w:val="32"/>
        </w:rPr>
        <w:t>研究摘要</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对临床试验情况进行简单的介绍。</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7.1.4</w:t>
        </w:r>
      </w:smartTag>
      <w:r w:rsidRPr="00E155AD">
        <w:rPr>
          <w:rFonts w:eastAsia="仿宋_GB2312"/>
          <w:kern w:val="0"/>
          <w:sz w:val="32"/>
          <w:szCs w:val="32"/>
        </w:rPr>
        <w:t>试验研究人员</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列出临床试验主要研究人员的姓名、单位、在研究中的职责及其简历（列于附件中），主要研究人员包括主要研究者及各单位的主要参加人员、统计学负责人、临床试验报告的撰写人。</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7.1.5</w:t>
        </w:r>
      </w:smartTag>
      <w:r w:rsidRPr="00E155AD">
        <w:rPr>
          <w:rFonts w:eastAsia="仿宋_GB2312"/>
          <w:kern w:val="0"/>
          <w:sz w:val="32"/>
          <w:szCs w:val="32"/>
        </w:rPr>
        <w:t>缩略语</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临床试验报告中所用的缩略语的全称。</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lastRenderedPageBreak/>
        <w:t>7.2</w:t>
      </w:r>
      <w:r w:rsidRPr="00E155AD">
        <w:rPr>
          <w:rFonts w:eastAsia="仿宋_GB2312"/>
          <w:kern w:val="0"/>
          <w:sz w:val="32"/>
          <w:szCs w:val="32"/>
        </w:rPr>
        <w:t>正文内容和报告格式</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7.2.1</w:t>
        </w:r>
      </w:smartTag>
      <w:r w:rsidRPr="00E155AD">
        <w:rPr>
          <w:rFonts w:eastAsia="仿宋_GB2312"/>
          <w:kern w:val="0"/>
          <w:sz w:val="32"/>
          <w:szCs w:val="32"/>
        </w:rPr>
        <w:t>基本内容</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引言。</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介绍与临床试验产品有关的背景情况：包括（</w:t>
      </w:r>
      <w:r w:rsidRPr="00E155AD">
        <w:rPr>
          <w:rFonts w:eastAsia="仿宋_GB2312"/>
          <w:kern w:val="0"/>
          <w:sz w:val="32"/>
          <w:szCs w:val="32"/>
        </w:rPr>
        <w:t>1</w:t>
      </w:r>
      <w:r w:rsidRPr="00E155AD">
        <w:rPr>
          <w:rFonts w:eastAsia="仿宋_GB2312"/>
          <w:kern w:val="0"/>
          <w:sz w:val="32"/>
          <w:szCs w:val="32"/>
        </w:rPr>
        <w:t>）被测物的来源、生物及理化性质；（</w:t>
      </w:r>
      <w:r w:rsidRPr="00E155AD">
        <w:rPr>
          <w:rFonts w:eastAsia="仿宋_GB2312"/>
          <w:kern w:val="0"/>
          <w:sz w:val="32"/>
          <w:szCs w:val="32"/>
        </w:rPr>
        <w:t>2</w:t>
      </w:r>
      <w:r w:rsidRPr="00E155AD">
        <w:rPr>
          <w:rFonts w:eastAsia="仿宋_GB2312"/>
          <w:kern w:val="0"/>
          <w:sz w:val="32"/>
          <w:szCs w:val="32"/>
        </w:rPr>
        <w:t>）临床预期使用目的，所针对的目标适应症人群，目前针对该适应症所采用的临床或实验室诊断方法等；（</w:t>
      </w:r>
      <w:r w:rsidRPr="00E155AD">
        <w:rPr>
          <w:rFonts w:eastAsia="仿宋_GB2312"/>
          <w:kern w:val="0"/>
          <w:sz w:val="32"/>
          <w:szCs w:val="32"/>
        </w:rPr>
        <w:t>3</w:t>
      </w:r>
      <w:r w:rsidRPr="00E155AD">
        <w:rPr>
          <w:rFonts w:eastAsia="仿宋_GB2312"/>
          <w:kern w:val="0"/>
          <w:sz w:val="32"/>
          <w:szCs w:val="32"/>
        </w:rPr>
        <w:t>）所采用的方法、原理、技术要求等；（</w:t>
      </w:r>
      <w:r w:rsidRPr="00E155AD">
        <w:rPr>
          <w:rFonts w:eastAsia="仿宋_GB2312"/>
          <w:kern w:val="0"/>
          <w:sz w:val="32"/>
          <w:szCs w:val="32"/>
        </w:rPr>
        <w:t>4</w:t>
      </w:r>
      <w:r w:rsidRPr="00E155AD">
        <w:rPr>
          <w:rFonts w:eastAsia="仿宋_GB2312"/>
          <w:kern w:val="0"/>
          <w:sz w:val="32"/>
          <w:szCs w:val="32"/>
        </w:rPr>
        <w:t>）国内外已批准上市产品的应用现状等。说明申请人和临床试验机构间的合作关系。</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7.2.2</w:t>
        </w:r>
      </w:smartTag>
      <w:r w:rsidRPr="00E155AD">
        <w:rPr>
          <w:rFonts w:eastAsia="仿宋_GB2312"/>
          <w:kern w:val="0"/>
          <w:sz w:val="32"/>
          <w:szCs w:val="32"/>
        </w:rPr>
        <w:t>研究目的。</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说明本临床试验所要达到的目的。</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7.2.3</w:t>
        </w:r>
      </w:smartTag>
      <w:r w:rsidRPr="00E155AD">
        <w:rPr>
          <w:rFonts w:eastAsia="仿宋_GB2312"/>
          <w:kern w:val="0"/>
          <w:sz w:val="32"/>
          <w:szCs w:val="32"/>
        </w:rPr>
        <w:t>试验管理。</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对试验管理结构的描述。</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管理结构包括主要研究者、主要参加人员、实验室质量控制情况、统计</w:t>
      </w:r>
      <w:r w:rsidRPr="00E155AD">
        <w:rPr>
          <w:rFonts w:eastAsia="仿宋_GB2312"/>
          <w:kern w:val="0"/>
          <w:sz w:val="32"/>
          <w:szCs w:val="32"/>
        </w:rPr>
        <w:t>/</w:t>
      </w:r>
      <w:r w:rsidRPr="00E155AD">
        <w:rPr>
          <w:rFonts w:eastAsia="仿宋_GB2312"/>
          <w:kern w:val="0"/>
          <w:sz w:val="32"/>
          <w:szCs w:val="32"/>
        </w:rPr>
        <w:t>数据管理情况以及试验中发生的问题及其处理措施等。</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7.2.4</w:t>
        </w:r>
      </w:smartTag>
      <w:r w:rsidRPr="00E155AD">
        <w:rPr>
          <w:rFonts w:eastAsia="仿宋_GB2312"/>
          <w:kern w:val="0"/>
          <w:sz w:val="32"/>
          <w:szCs w:val="32"/>
        </w:rPr>
        <w:t>试验设计。</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7.2.4</w:t>
        </w:r>
      </w:smartTag>
      <w:r w:rsidRPr="00E155AD">
        <w:rPr>
          <w:rFonts w:eastAsia="仿宋_GB2312"/>
          <w:kern w:val="0"/>
          <w:sz w:val="32"/>
          <w:szCs w:val="32"/>
        </w:rPr>
        <w:t>.1</w:t>
      </w:r>
      <w:r w:rsidRPr="00E155AD">
        <w:rPr>
          <w:rFonts w:eastAsia="仿宋_GB2312"/>
          <w:kern w:val="0"/>
          <w:sz w:val="32"/>
          <w:szCs w:val="32"/>
        </w:rPr>
        <w:t>试验总体设计及方案的描述。</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试验的总体设计和方案的描述应清晰、简洁，必要时采用图表等直观的方式。试验进行时方案修改的情况和任何方案以外的信息来源也应详细叙述。应包括：</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1</w:t>
      </w:r>
      <w:r w:rsidRPr="00E155AD">
        <w:rPr>
          <w:rFonts w:eastAsia="仿宋_GB2312"/>
          <w:kern w:val="0"/>
          <w:sz w:val="32"/>
          <w:szCs w:val="32"/>
        </w:rPr>
        <w:t>）临床试验的整体管理情况、临床研究单位选择、临床主要研究人员简介等基本情况介绍；</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2</w:t>
      </w:r>
      <w:r w:rsidRPr="00E155AD">
        <w:rPr>
          <w:rFonts w:eastAsia="仿宋_GB2312"/>
          <w:kern w:val="0"/>
          <w:sz w:val="32"/>
          <w:szCs w:val="32"/>
        </w:rPr>
        <w:t>）病例纳入</w:t>
      </w:r>
      <w:r w:rsidRPr="00E155AD">
        <w:rPr>
          <w:rFonts w:eastAsia="仿宋_GB2312"/>
          <w:kern w:val="0"/>
          <w:sz w:val="32"/>
          <w:szCs w:val="32"/>
        </w:rPr>
        <w:t>/</w:t>
      </w:r>
      <w:r w:rsidRPr="00E155AD">
        <w:rPr>
          <w:rFonts w:eastAsia="仿宋_GB2312"/>
          <w:kern w:val="0"/>
          <w:sz w:val="32"/>
          <w:szCs w:val="32"/>
        </w:rPr>
        <w:t>排除标准、不同年龄段人群的预期选择例数及标准；</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lastRenderedPageBreak/>
        <w:t>（</w:t>
      </w:r>
      <w:r w:rsidRPr="00E155AD">
        <w:rPr>
          <w:rFonts w:eastAsia="仿宋_GB2312"/>
          <w:kern w:val="0"/>
          <w:sz w:val="32"/>
          <w:szCs w:val="32"/>
        </w:rPr>
        <w:t>3</w:t>
      </w:r>
      <w:r w:rsidRPr="00E155AD">
        <w:rPr>
          <w:rFonts w:eastAsia="仿宋_GB2312"/>
          <w:kern w:val="0"/>
          <w:sz w:val="32"/>
          <w:szCs w:val="32"/>
        </w:rPr>
        <w:t>）样本类型，样本的收集、处理及保存等；</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4</w:t>
      </w:r>
      <w:r w:rsidRPr="00E155AD">
        <w:rPr>
          <w:rFonts w:eastAsia="仿宋_GB2312"/>
          <w:kern w:val="0"/>
          <w:sz w:val="32"/>
          <w:szCs w:val="32"/>
        </w:rPr>
        <w:t>）统计学方法、统计软件、评价统计结果的标准</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7.2.4</w:t>
        </w:r>
      </w:smartTag>
      <w:r w:rsidRPr="00E155AD">
        <w:rPr>
          <w:rFonts w:eastAsia="仿宋_GB2312"/>
          <w:kern w:val="0"/>
          <w:sz w:val="32"/>
          <w:szCs w:val="32"/>
        </w:rPr>
        <w:t>.2</w:t>
      </w:r>
      <w:r w:rsidRPr="00E155AD">
        <w:rPr>
          <w:rFonts w:eastAsia="仿宋_GB2312"/>
          <w:kern w:val="0"/>
          <w:sz w:val="32"/>
          <w:szCs w:val="32"/>
        </w:rPr>
        <w:t>试验设计及试验方法选择。</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试验设计中应包括以下内容：</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1</w:t>
      </w:r>
      <w:r w:rsidRPr="00E155AD">
        <w:rPr>
          <w:rFonts w:eastAsia="仿宋_GB2312"/>
          <w:kern w:val="0"/>
          <w:sz w:val="32"/>
          <w:szCs w:val="32"/>
        </w:rPr>
        <w:t>）样本量及样本量确定的依据。</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2</w:t>
      </w:r>
      <w:r w:rsidRPr="00E155AD">
        <w:rPr>
          <w:rFonts w:eastAsia="仿宋_GB2312"/>
          <w:kern w:val="0"/>
          <w:sz w:val="32"/>
          <w:szCs w:val="32"/>
        </w:rPr>
        <w:t>）样本选择依据、入选标准、排除标准和剔除标准。</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3</w:t>
      </w:r>
      <w:r w:rsidRPr="00E155AD">
        <w:rPr>
          <w:rFonts w:eastAsia="仿宋_GB2312"/>
          <w:kern w:val="0"/>
          <w:sz w:val="32"/>
          <w:szCs w:val="32"/>
        </w:rPr>
        <w:t>）样本采集、保存、运输方法等。</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4</w:t>
      </w:r>
      <w:r w:rsidRPr="00E155AD">
        <w:rPr>
          <w:rFonts w:eastAsia="仿宋_GB2312"/>
          <w:kern w:val="0"/>
          <w:sz w:val="32"/>
          <w:szCs w:val="32"/>
        </w:rPr>
        <w:t>）对比试剂的确立。</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5</w:t>
      </w:r>
      <w:r w:rsidRPr="00E155AD">
        <w:rPr>
          <w:rFonts w:eastAsia="仿宋_GB2312"/>
          <w:kern w:val="0"/>
          <w:sz w:val="32"/>
          <w:szCs w:val="32"/>
        </w:rPr>
        <w:t>）临床试验用所有产品的名称、规格、来源、批号、效期及保存条件，对比试剂的注册情况。考核试剂和参比试剂的名称、批号、有效期及所用机型等信息。</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6</w:t>
      </w:r>
      <w:r w:rsidRPr="00E155AD">
        <w:rPr>
          <w:rFonts w:eastAsia="仿宋_GB2312"/>
          <w:kern w:val="0"/>
          <w:sz w:val="32"/>
          <w:szCs w:val="32"/>
        </w:rPr>
        <w:t>）质量控制方法。对质量控制方法进行简要的阐述。试验人员培训、仪器日常维护、仪器校准、质控品运行情况，对检测精密度、质控品回收（或测量值）、抽查结果评估；</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7</w:t>
      </w:r>
      <w:r w:rsidRPr="00E155AD">
        <w:rPr>
          <w:rFonts w:eastAsia="仿宋_GB2312"/>
          <w:kern w:val="0"/>
          <w:sz w:val="32"/>
          <w:szCs w:val="32"/>
        </w:rPr>
        <w:t>）临床试验数据的统计分析方法。对各研究单位的病例数、病种分布情况进行总合，建议以列表或图示方式给出具体例数及百分比。</w:t>
      </w:r>
    </w:p>
    <w:p w:rsidR="00B43BE5" w:rsidRPr="00E155AD" w:rsidRDefault="00B43BE5" w:rsidP="00B43BE5">
      <w:pPr>
        <w:spacing w:line="520" w:lineRule="exact"/>
        <w:ind w:firstLine="640"/>
        <w:rPr>
          <w:rFonts w:eastAsia="仿宋_GB2312"/>
          <w:kern w:val="0"/>
          <w:sz w:val="32"/>
          <w:szCs w:val="32"/>
        </w:rPr>
      </w:pPr>
      <w:r w:rsidRPr="00E155AD">
        <w:rPr>
          <w:rFonts w:eastAsia="仿宋_GB2312" w:hint="eastAsia"/>
          <w:kern w:val="0"/>
          <w:sz w:val="32"/>
          <w:szCs w:val="32"/>
        </w:rPr>
        <w:t>①</w:t>
      </w:r>
      <w:r w:rsidRPr="00E155AD">
        <w:rPr>
          <w:rFonts w:eastAsia="仿宋_GB2312"/>
          <w:kern w:val="0"/>
          <w:sz w:val="32"/>
          <w:szCs w:val="32"/>
        </w:rPr>
        <w:t>数据预处理、差异数据的重新检测或第三方验证以及是否纳入最终数据统计、对异常值或缺失值的处理、研究过程中是否涉及对方案的修改。</w:t>
      </w:r>
    </w:p>
    <w:p w:rsidR="00B43BE5" w:rsidRPr="00E155AD" w:rsidRDefault="00B43BE5" w:rsidP="00B43BE5">
      <w:pPr>
        <w:spacing w:line="520" w:lineRule="exact"/>
        <w:ind w:firstLine="640"/>
        <w:rPr>
          <w:rFonts w:eastAsia="仿宋_GB2312"/>
          <w:kern w:val="0"/>
          <w:sz w:val="32"/>
          <w:szCs w:val="32"/>
        </w:rPr>
      </w:pPr>
      <w:r w:rsidRPr="00E155AD">
        <w:rPr>
          <w:rFonts w:eastAsia="仿宋_GB2312" w:hint="eastAsia"/>
          <w:kern w:val="0"/>
          <w:sz w:val="32"/>
          <w:szCs w:val="32"/>
        </w:rPr>
        <w:t>②</w:t>
      </w:r>
      <w:r w:rsidRPr="00E155AD">
        <w:rPr>
          <w:rFonts w:eastAsia="仿宋_GB2312"/>
          <w:kern w:val="0"/>
          <w:sz w:val="32"/>
          <w:szCs w:val="32"/>
        </w:rPr>
        <w:t>定量值相关性和一致性分析</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用回归分析验证两种试剂结果的相关性，以</w:t>
      </w:r>
      <w:r w:rsidRPr="00E155AD">
        <w:rPr>
          <w:rFonts w:eastAsia="仿宋_GB2312"/>
          <w:kern w:val="0"/>
          <w:sz w:val="32"/>
          <w:szCs w:val="32"/>
        </w:rPr>
        <w:t>y=a+bx</w:t>
      </w:r>
      <w:r w:rsidRPr="00E155AD">
        <w:rPr>
          <w:rFonts w:eastAsia="仿宋_GB2312"/>
          <w:kern w:val="0"/>
          <w:sz w:val="32"/>
          <w:szCs w:val="32"/>
        </w:rPr>
        <w:t>和</w:t>
      </w:r>
      <w:r w:rsidRPr="00E155AD">
        <w:rPr>
          <w:rFonts w:eastAsia="仿宋_GB2312"/>
          <w:kern w:val="0"/>
          <w:sz w:val="32"/>
          <w:szCs w:val="32"/>
        </w:rPr>
        <w:t>R2</w:t>
      </w:r>
      <w:r w:rsidRPr="00E155AD">
        <w:rPr>
          <w:rFonts w:eastAsia="仿宋_GB2312"/>
          <w:kern w:val="0"/>
          <w:sz w:val="32"/>
          <w:szCs w:val="32"/>
        </w:rPr>
        <w:t>的形式给出回归分析的拟合方程，其中：</w:t>
      </w:r>
      <w:r w:rsidRPr="00E155AD">
        <w:rPr>
          <w:rFonts w:eastAsia="仿宋_GB2312"/>
          <w:kern w:val="0"/>
          <w:sz w:val="32"/>
          <w:szCs w:val="32"/>
        </w:rPr>
        <w:t>y</w:t>
      </w:r>
      <w:r w:rsidRPr="00E155AD">
        <w:rPr>
          <w:rFonts w:eastAsia="仿宋_GB2312"/>
          <w:kern w:val="0"/>
          <w:sz w:val="32"/>
          <w:szCs w:val="32"/>
        </w:rPr>
        <w:t>是考核试剂结果，</w:t>
      </w:r>
      <w:r w:rsidRPr="00E155AD">
        <w:rPr>
          <w:rFonts w:eastAsia="仿宋_GB2312"/>
          <w:kern w:val="0"/>
          <w:sz w:val="32"/>
          <w:szCs w:val="32"/>
        </w:rPr>
        <w:t>x</w:t>
      </w:r>
      <w:r w:rsidRPr="00E155AD">
        <w:rPr>
          <w:rFonts w:eastAsia="仿宋_GB2312"/>
          <w:kern w:val="0"/>
          <w:sz w:val="32"/>
          <w:szCs w:val="32"/>
        </w:rPr>
        <w:t>是参比试剂结果，</w:t>
      </w:r>
      <w:r w:rsidRPr="00E155AD">
        <w:rPr>
          <w:rFonts w:eastAsia="仿宋_GB2312"/>
          <w:kern w:val="0"/>
          <w:sz w:val="32"/>
          <w:szCs w:val="32"/>
        </w:rPr>
        <w:t>b</w:t>
      </w:r>
      <w:r w:rsidRPr="00E155AD">
        <w:rPr>
          <w:rFonts w:eastAsia="仿宋_GB2312"/>
          <w:kern w:val="0"/>
          <w:sz w:val="32"/>
          <w:szCs w:val="32"/>
        </w:rPr>
        <w:t>是方程斜率，</w:t>
      </w:r>
      <w:r w:rsidRPr="00E155AD">
        <w:rPr>
          <w:rFonts w:eastAsia="仿宋_GB2312"/>
          <w:kern w:val="0"/>
          <w:sz w:val="32"/>
          <w:szCs w:val="32"/>
        </w:rPr>
        <w:t>a</w:t>
      </w:r>
      <w:r w:rsidRPr="00E155AD">
        <w:rPr>
          <w:rFonts w:eastAsia="仿宋_GB2312"/>
          <w:kern w:val="0"/>
          <w:sz w:val="32"/>
          <w:szCs w:val="32"/>
        </w:rPr>
        <w:t>是</w:t>
      </w:r>
      <w:r w:rsidRPr="00E155AD">
        <w:rPr>
          <w:rFonts w:eastAsia="仿宋_GB2312"/>
          <w:kern w:val="0"/>
          <w:sz w:val="32"/>
          <w:szCs w:val="32"/>
        </w:rPr>
        <w:t>y</w:t>
      </w:r>
      <w:r w:rsidRPr="00E155AD">
        <w:rPr>
          <w:rFonts w:eastAsia="仿宋_GB2312"/>
          <w:kern w:val="0"/>
          <w:sz w:val="32"/>
          <w:szCs w:val="32"/>
        </w:rPr>
        <w:t>轴截距，</w:t>
      </w:r>
      <w:r w:rsidRPr="00E155AD">
        <w:rPr>
          <w:rFonts w:eastAsia="仿宋_GB2312"/>
          <w:kern w:val="0"/>
          <w:sz w:val="32"/>
          <w:szCs w:val="32"/>
        </w:rPr>
        <w:t>R2</w:t>
      </w:r>
      <w:r w:rsidRPr="00E155AD">
        <w:rPr>
          <w:rFonts w:eastAsia="仿宋_GB2312"/>
          <w:kern w:val="0"/>
          <w:sz w:val="32"/>
          <w:szCs w:val="32"/>
        </w:rPr>
        <w:t>是判定系数，同时应给出</w:t>
      </w:r>
      <w:r w:rsidRPr="00E155AD">
        <w:rPr>
          <w:rFonts w:eastAsia="仿宋_GB2312"/>
          <w:kern w:val="0"/>
          <w:sz w:val="32"/>
          <w:szCs w:val="32"/>
        </w:rPr>
        <w:t>b</w:t>
      </w:r>
      <w:r w:rsidRPr="00E155AD">
        <w:rPr>
          <w:rFonts w:eastAsia="仿宋_GB2312"/>
          <w:kern w:val="0"/>
          <w:sz w:val="32"/>
          <w:szCs w:val="32"/>
        </w:rPr>
        <w:t>的</w:t>
      </w:r>
      <w:r w:rsidRPr="00E155AD">
        <w:rPr>
          <w:rFonts w:eastAsia="仿宋_GB2312"/>
          <w:kern w:val="0"/>
          <w:sz w:val="32"/>
          <w:szCs w:val="32"/>
        </w:rPr>
        <w:t>95%</w:t>
      </w:r>
      <w:r w:rsidRPr="00E155AD">
        <w:rPr>
          <w:rFonts w:eastAsia="仿宋_GB2312"/>
          <w:kern w:val="0"/>
          <w:sz w:val="32"/>
          <w:szCs w:val="32"/>
        </w:rPr>
        <w:t>（或</w:t>
      </w:r>
      <w:r w:rsidRPr="00E155AD">
        <w:rPr>
          <w:rFonts w:eastAsia="仿宋_GB2312"/>
          <w:kern w:val="0"/>
          <w:sz w:val="32"/>
          <w:szCs w:val="32"/>
        </w:rPr>
        <w:t>99%</w:t>
      </w:r>
      <w:r w:rsidRPr="00E155AD">
        <w:rPr>
          <w:rFonts w:eastAsia="仿宋_GB2312"/>
          <w:kern w:val="0"/>
          <w:sz w:val="32"/>
          <w:szCs w:val="32"/>
        </w:rPr>
        <w:t>）置信区间，定量值结果应无明</w:t>
      </w:r>
      <w:r w:rsidRPr="00E155AD">
        <w:rPr>
          <w:rFonts w:eastAsia="仿宋_GB2312"/>
          <w:kern w:val="0"/>
          <w:sz w:val="32"/>
          <w:szCs w:val="32"/>
        </w:rPr>
        <w:lastRenderedPageBreak/>
        <w:t>显统计学差异。</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8</w:t>
      </w:r>
      <w:r w:rsidRPr="00E155AD">
        <w:rPr>
          <w:rFonts w:eastAsia="仿宋_GB2312"/>
          <w:kern w:val="0"/>
          <w:sz w:val="32"/>
          <w:szCs w:val="32"/>
        </w:rPr>
        <w:t>）具体试验过程，样本检测、数据收集、样本长期保存、结果不一致样本的校验等。</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w:t>
      </w:r>
      <w:r w:rsidRPr="00E155AD">
        <w:rPr>
          <w:rFonts w:eastAsia="仿宋_GB2312"/>
          <w:kern w:val="0"/>
          <w:sz w:val="32"/>
          <w:szCs w:val="32"/>
        </w:rPr>
        <w:t>9</w:t>
      </w:r>
      <w:r w:rsidRPr="00E155AD">
        <w:rPr>
          <w:rFonts w:eastAsia="仿宋_GB2312"/>
          <w:kern w:val="0"/>
          <w:sz w:val="32"/>
          <w:szCs w:val="32"/>
        </w:rPr>
        <w:t>）试验过程中方案的修改。</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一般情况下，临床试验方案不宜更改。试验过程中对方案的任何修改均应说明，对更改的时间、理由、更改过程及有无备案进行详细阐述并论证其对整个研究结果评价的影响。</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7.2.5</w:t>
        </w:r>
      </w:smartTag>
      <w:r w:rsidRPr="00E155AD">
        <w:rPr>
          <w:rFonts w:eastAsia="仿宋_GB2312"/>
          <w:kern w:val="0"/>
          <w:sz w:val="32"/>
          <w:szCs w:val="32"/>
        </w:rPr>
        <w:t>临床试验结果及分析。</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7.2.6</w:t>
        </w:r>
      </w:smartTag>
      <w:r w:rsidRPr="00E155AD">
        <w:rPr>
          <w:rFonts w:eastAsia="仿宋_GB2312"/>
          <w:kern w:val="0"/>
          <w:sz w:val="32"/>
          <w:szCs w:val="32"/>
        </w:rPr>
        <w:t>讨论和结论。对总体结果进行总结性描述并简要分析试验结果，对本次临床研究有无特别说明，最后得出临床试验结论。</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7.3</w:t>
      </w:r>
      <w:r w:rsidRPr="00E155AD">
        <w:rPr>
          <w:rFonts w:eastAsia="仿宋_GB2312"/>
          <w:kern w:val="0"/>
          <w:sz w:val="32"/>
          <w:szCs w:val="32"/>
        </w:rPr>
        <w:t>有关临床试验中特别情况的说明</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7.4</w:t>
      </w:r>
      <w:r w:rsidRPr="00E155AD">
        <w:rPr>
          <w:rFonts w:eastAsia="仿宋_GB2312"/>
          <w:kern w:val="0"/>
          <w:sz w:val="32"/>
          <w:szCs w:val="32"/>
        </w:rPr>
        <w:t>附件</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7.4.1</w:t>
      </w:r>
      <w:r w:rsidRPr="00E155AD">
        <w:rPr>
          <w:rFonts w:eastAsia="仿宋_GB2312"/>
          <w:kern w:val="0"/>
          <w:sz w:val="32"/>
          <w:szCs w:val="32"/>
        </w:rPr>
        <w:t>临床试验中所采用的其他试验方法或其他诊断试剂产品的基本信息，如试验方法、诊断试剂产品来源、产品说明书及注册批准情况。</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7.4.2</w:t>
      </w:r>
      <w:r w:rsidRPr="00E155AD">
        <w:rPr>
          <w:rFonts w:eastAsia="仿宋_GB2312"/>
          <w:kern w:val="0"/>
          <w:sz w:val="32"/>
          <w:szCs w:val="32"/>
        </w:rPr>
        <w:t>临床试验中的所有试验数据，需由临床试验操作者、复核者签字，临床试验机构盖章（封面盖章和骑缝章）。</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7.4.3</w:t>
        </w:r>
      </w:smartTag>
      <w:r w:rsidRPr="00E155AD">
        <w:rPr>
          <w:rFonts w:eastAsia="仿宋_GB2312"/>
          <w:kern w:val="0"/>
          <w:sz w:val="32"/>
          <w:szCs w:val="32"/>
        </w:rPr>
        <w:t>主要参考文献。</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7.4.4</w:t>
        </w:r>
      </w:smartTag>
      <w:r w:rsidRPr="00E155AD">
        <w:rPr>
          <w:rFonts w:eastAsia="仿宋_GB2312"/>
          <w:kern w:val="0"/>
          <w:sz w:val="32"/>
          <w:szCs w:val="32"/>
        </w:rPr>
        <w:t>主要研究者简历。</w:t>
      </w:r>
    </w:p>
    <w:p w:rsidR="00B43BE5" w:rsidRPr="00E155AD" w:rsidRDefault="00B43BE5" w:rsidP="00B43BE5">
      <w:pPr>
        <w:spacing w:line="520" w:lineRule="exact"/>
        <w:ind w:firstLine="640"/>
        <w:rPr>
          <w:rFonts w:eastAsia="仿宋_GB2312"/>
          <w:kern w:val="0"/>
          <w:sz w:val="32"/>
          <w:szCs w:val="32"/>
        </w:rPr>
      </w:pPr>
      <w:smartTag w:uri="urn:schemas-microsoft-com:office:smarttags" w:element="chsdate">
        <w:smartTagPr>
          <w:attr w:name="Year" w:val="1899"/>
          <w:attr w:name="Month" w:val="12"/>
          <w:attr w:name="Day" w:val="30"/>
          <w:attr w:name="IsLunarDate" w:val="False"/>
          <w:attr w:name="IsROCDate" w:val="False"/>
        </w:smartTagPr>
        <w:r w:rsidRPr="00E155AD">
          <w:rPr>
            <w:rFonts w:eastAsia="仿宋_GB2312"/>
            <w:kern w:val="0"/>
            <w:sz w:val="32"/>
            <w:szCs w:val="32"/>
          </w:rPr>
          <w:t>7.4.5</w:t>
        </w:r>
      </w:smartTag>
      <w:r w:rsidRPr="00E155AD">
        <w:rPr>
          <w:rFonts w:eastAsia="仿宋_GB2312"/>
          <w:kern w:val="0"/>
          <w:sz w:val="32"/>
          <w:szCs w:val="32"/>
        </w:rPr>
        <w:t>申请人需要说明的其他情况等。</w:t>
      </w:r>
    </w:p>
    <w:p w:rsidR="00B43BE5" w:rsidRPr="00E155AD" w:rsidRDefault="00B43BE5" w:rsidP="00B43BE5">
      <w:pPr>
        <w:spacing w:line="520" w:lineRule="exact"/>
        <w:ind w:firstLine="640"/>
        <w:rPr>
          <w:rFonts w:ascii="楷体_GB2312" w:eastAsia="楷体_GB2312" w:hint="eastAsia"/>
          <w:kern w:val="0"/>
          <w:sz w:val="32"/>
          <w:szCs w:val="32"/>
        </w:rPr>
      </w:pPr>
      <w:r w:rsidRPr="00E155AD">
        <w:rPr>
          <w:rFonts w:ascii="楷体_GB2312" w:eastAsia="楷体_GB2312" w:hint="eastAsia"/>
          <w:kern w:val="0"/>
          <w:sz w:val="32"/>
          <w:szCs w:val="32"/>
        </w:rPr>
        <w:t>（八）风险分析研究资料</w:t>
      </w:r>
    </w:p>
    <w:p w:rsidR="00B43BE5" w:rsidRPr="00E155AD" w:rsidRDefault="00B43BE5" w:rsidP="00B43BE5">
      <w:pPr>
        <w:spacing w:line="520" w:lineRule="exact"/>
        <w:ind w:firstLine="640"/>
        <w:rPr>
          <w:rFonts w:eastAsia="仿宋_GB2312"/>
          <w:kern w:val="0"/>
          <w:sz w:val="32"/>
          <w:szCs w:val="32"/>
        </w:rPr>
      </w:pPr>
      <w:r w:rsidRPr="00E155AD">
        <w:rPr>
          <w:rFonts w:eastAsia="仿宋_GB2312"/>
          <w:kern w:val="0"/>
          <w:sz w:val="32"/>
          <w:szCs w:val="32"/>
        </w:rPr>
        <w:t>申请人应考虑产品寿命周期的各个环节，从预期用途、可能的使用错误、与安全性有关的特征、已知及可预见的危害等方面的判定以及对患者风险的估计进行风险分析，应符合</w:t>
      </w:r>
      <w:r w:rsidRPr="00E155AD">
        <w:rPr>
          <w:rFonts w:eastAsia="仿宋_GB2312"/>
          <w:kern w:val="0"/>
          <w:sz w:val="32"/>
          <w:szCs w:val="32"/>
        </w:rPr>
        <w:t xml:space="preserve">YY/T </w:t>
      </w:r>
      <w:r w:rsidRPr="00E155AD">
        <w:rPr>
          <w:rFonts w:eastAsia="仿宋_GB2312"/>
          <w:kern w:val="0"/>
          <w:sz w:val="32"/>
          <w:szCs w:val="32"/>
        </w:rPr>
        <w:lastRenderedPageBreak/>
        <w:t>0316—2008/ISO 14971</w:t>
      </w:r>
      <w:r w:rsidRPr="00E155AD">
        <w:rPr>
          <w:rFonts w:eastAsia="仿宋_GB2312"/>
          <w:kern w:val="0"/>
          <w:sz w:val="32"/>
          <w:szCs w:val="32"/>
        </w:rPr>
        <w:t>：</w:t>
      </w:r>
      <w:r w:rsidRPr="00E155AD">
        <w:rPr>
          <w:rFonts w:eastAsia="仿宋_GB2312"/>
          <w:kern w:val="0"/>
          <w:sz w:val="32"/>
          <w:szCs w:val="32"/>
        </w:rPr>
        <w:t>2007</w:t>
      </w:r>
      <w:r w:rsidRPr="00E155AD">
        <w:rPr>
          <w:rFonts w:eastAsia="仿宋_GB2312"/>
          <w:kern w:val="0"/>
          <w:sz w:val="32"/>
          <w:szCs w:val="32"/>
        </w:rPr>
        <w:t>《医疗器械风险管理对医疗器械的应用》的要求。</w:t>
      </w:r>
    </w:p>
    <w:p w:rsidR="00B43BE5" w:rsidRPr="00E155AD" w:rsidRDefault="00B43BE5" w:rsidP="00B43BE5">
      <w:pPr>
        <w:spacing w:line="520" w:lineRule="exact"/>
        <w:ind w:firstLine="640"/>
        <w:rPr>
          <w:rFonts w:ascii="楷体_GB2312" w:eastAsia="楷体_GB2312" w:hint="eastAsia"/>
          <w:bCs/>
          <w:sz w:val="32"/>
          <w:szCs w:val="30"/>
        </w:rPr>
      </w:pPr>
      <w:r w:rsidRPr="00E155AD">
        <w:rPr>
          <w:rFonts w:ascii="楷体_GB2312" w:eastAsia="楷体_GB2312" w:hint="eastAsia"/>
          <w:bCs/>
          <w:sz w:val="32"/>
          <w:szCs w:val="30"/>
        </w:rPr>
        <w:t>（九）拟定产品技术要求</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vanish/>
          <w:color w:val="000000"/>
          <w:sz w:val="32"/>
          <w:szCs w:val="32"/>
        </w:rPr>
        <w:t>能指标：要求</w:t>
      </w:r>
      <w:r w:rsidRPr="002F1680">
        <w:rPr>
          <w:bCs/>
          <w:vanish/>
          <w:color w:val="000000"/>
          <w:sz w:val="32"/>
          <w:szCs w:val="32"/>
        </w:rPr>
        <w:t>hengch</w:t>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2F1680">
        <w:rPr>
          <w:bCs/>
          <w:vanish/>
          <w:color w:val="000000"/>
          <w:sz w:val="32"/>
          <w:szCs w:val="32"/>
        </w:rPr>
        <w:pgNum/>
      </w:r>
      <w:r w:rsidRPr="00E155AD">
        <w:rPr>
          <w:rFonts w:eastAsia="仿宋_GB2312"/>
          <w:bCs/>
          <w:color w:val="000000"/>
          <w:sz w:val="32"/>
          <w:szCs w:val="32"/>
        </w:rPr>
        <w:t>拟定产品技术要求的编写应符合《体外诊断试剂注册管理办法》、《体外诊断试剂注册申报资料基本要求和批准证明文件》和《关于发布医疗器械产品技术要求编写指导原则的通告》</w:t>
      </w:r>
      <w:r w:rsidRPr="00E155AD">
        <w:rPr>
          <w:rFonts w:eastAsia="仿宋_GB2312"/>
          <w:sz w:val="32"/>
          <w:szCs w:val="32"/>
        </w:rPr>
        <w:t>（国家食品药品监督管理总局通告</w:t>
      </w:r>
      <w:r w:rsidRPr="00E155AD">
        <w:rPr>
          <w:rFonts w:eastAsia="仿宋_GB2312"/>
          <w:sz w:val="32"/>
          <w:szCs w:val="32"/>
        </w:rPr>
        <w:t>2014</w:t>
      </w:r>
      <w:r w:rsidRPr="00E155AD">
        <w:rPr>
          <w:rFonts w:eastAsia="仿宋_GB2312"/>
          <w:sz w:val="32"/>
          <w:szCs w:val="32"/>
        </w:rPr>
        <w:t>年第</w:t>
      </w:r>
      <w:r w:rsidRPr="00E155AD">
        <w:rPr>
          <w:rFonts w:eastAsia="仿宋_GB2312"/>
          <w:sz w:val="32"/>
          <w:szCs w:val="32"/>
        </w:rPr>
        <w:t>9</w:t>
      </w:r>
      <w:r w:rsidRPr="00E155AD">
        <w:rPr>
          <w:rFonts w:eastAsia="仿宋_GB2312"/>
          <w:sz w:val="32"/>
          <w:szCs w:val="32"/>
        </w:rPr>
        <w:t>号）的</w:t>
      </w:r>
      <w:r w:rsidRPr="00E155AD">
        <w:rPr>
          <w:rFonts w:eastAsia="仿宋_GB2312"/>
          <w:bCs/>
          <w:color w:val="000000"/>
          <w:sz w:val="32"/>
          <w:szCs w:val="32"/>
        </w:rPr>
        <w:t>相关规定。作为定量检测试剂，缺血修饰白蛋白检测试剂的拟定产品技术要求应主要包括以下性能指标：外观、装量、试剂空白、分析灵敏度、线性范围、准确度、精密度、特异性等。如已有相应的国家</w:t>
      </w:r>
      <w:r w:rsidRPr="00E155AD">
        <w:rPr>
          <w:rFonts w:eastAsia="仿宋_GB2312"/>
          <w:bCs/>
          <w:color w:val="000000"/>
          <w:sz w:val="32"/>
          <w:szCs w:val="32"/>
        </w:rPr>
        <w:t>/</w:t>
      </w:r>
      <w:r w:rsidRPr="00E155AD">
        <w:rPr>
          <w:rFonts w:eastAsia="仿宋_GB2312"/>
          <w:bCs/>
          <w:color w:val="000000"/>
          <w:sz w:val="32"/>
          <w:szCs w:val="32"/>
        </w:rPr>
        <w:t>行业标准发布，则企业产品技术要求的要求不得低于上述标准要求。</w:t>
      </w:r>
    </w:p>
    <w:p w:rsidR="00B43BE5" w:rsidRPr="00E155AD" w:rsidRDefault="00B43BE5" w:rsidP="00B43BE5">
      <w:pPr>
        <w:spacing w:line="520" w:lineRule="exact"/>
        <w:ind w:firstLine="640"/>
        <w:rPr>
          <w:rFonts w:ascii="楷体_GB2312" w:eastAsia="楷体_GB2312" w:hint="eastAsia"/>
          <w:bCs/>
          <w:sz w:val="32"/>
          <w:szCs w:val="30"/>
        </w:rPr>
      </w:pPr>
      <w:r w:rsidRPr="00E155AD">
        <w:rPr>
          <w:rFonts w:ascii="楷体_GB2312" w:eastAsia="楷体_GB2312" w:hint="eastAsia"/>
          <w:bCs/>
          <w:sz w:val="32"/>
          <w:szCs w:val="30"/>
        </w:rPr>
        <w:t>（十）注册检验报告</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根据《体外诊断试剂注册管理办法》要求，首次申请注册的缺血修饰白蛋白测定试剂盒应该在具有相应医疗器械检验资质和承检范围的医疗器械检测机构进行注册检验。出具注册检验报告和产品技术要求预评价意见。</w:t>
      </w:r>
    </w:p>
    <w:p w:rsidR="00B43BE5" w:rsidRPr="00E155AD" w:rsidRDefault="00B43BE5" w:rsidP="00B43BE5">
      <w:pPr>
        <w:spacing w:line="520" w:lineRule="exact"/>
        <w:ind w:firstLine="640"/>
        <w:rPr>
          <w:rFonts w:ascii="楷体_GB2312" w:eastAsia="楷体_GB2312"/>
          <w:bCs/>
          <w:sz w:val="32"/>
          <w:szCs w:val="30"/>
        </w:rPr>
      </w:pPr>
      <w:r w:rsidRPr="00E155AD">
        <w:rPr>
          <w:rFonts w:ascii="楷体_GB2312" w:eastAsia="楷体_GB2312"/>
          <w:bCs/>
          <w:sz w:val="32"/>
          <w:szCs w:val="30"/>
        </w:rPr>
        <w:t>（十一）产品说明书</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说明书承载了产品预期用途、试验方法、检测结果解释以及注意事项等重要信息，是指导实验室工作人员正确操作、临床医生针对检验结果给出合理医学解释的重要依据。因此，产品说明书是体外诊断试剂注册申报最重要的文件之一。产品说明书中的所有内容均应与申请人提交的注册申报资料中的相关研究结果保持一致，如某些内容引自参考文献，则应以规范格式对此内容进行标注，并单独列明文献的相关信息。</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lastRenderedPageBreak/>
        <w:t>结合《体外诊断试剂说明书编写指导原则》的要求，下面对缺血修饰白蛋白测定试剂说明书的重点内容进行详细说明，以指导注册申报人员更合理地完成说明书编制。</w:t>
      </w:r>
    </w:p>
    <w:p w:rsidR="00B43BE5" w:rsidRPr="002F1680" w:rsidRDefault="00B43BE5" w:rsidP="00B43BE5">
      <w:pPr>
        <w:spacing w:line="520" w:lineRule="exact"/>
        <w:ind w:firstLine="640"/>
        <w:rPr>
          <w:bCs/>
          <w:color w:val="000000"/>
          <w:sz w:val="32"/>
          <w:szCs w:val="32"/>
        </w:rPr>
      </w:pPr>
      <w:r w:rsidRPr="002F1680">
        <w:rPr>
          <w:bCs/>
          <w:color w:val="000000"/>
          <w:sz w:val="32"/>
          <w:szCs w:val="32"/>
        </w:rPr>
        <w:t>1.</w:t>
      </w:r>
      <w:r w:rsidRPr="002F1680">
        <w:rPr>
          <w:bCs/>
          <w:color w:val="000000"/>
          <w:sz w:val="32"/>
          <w:szCs w:val="32"/>
        </w:rPr>
        <w:t>【产品名称】</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）试剂名称由三部分组成：被测物名称、用途、方法或原理。例如：缺血修饰白蛋白测定试剂（</w:t>
      </w:r>
      <w:r w:rsidRPr="00E155AD">
        <w:rPr>
          <w:rFonts w:eastAsia="仿宋_GB2312"/>
          <w:sz w:val="32"/>
          <w:szCs w:val="32"/>
        </w:rPr>
        <w:t>ACB</w:t>
      </w:r>
      <w:r w:rsidRPr="00E155AD">
        <w:rPr>
          <w:rFonts w:eastAsia="仿宋_GB2312"/>
          <w:sz w:val="32"/>
          <w:szCs w:val="32"/>
        </w:rPr>
        <w:t>法）。</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2</w:t>
      </w:r>
      <w:r w:rsidRPr="00E155AD">
        <w:rPr>
          <w:rFonts w:eastAsia="仿宋_GB2312"/>
          <w:sz w:val="32"/>
          <w:szCs w:val="32"/>
        </w:rPr>
        <w:t>）英文名称（如有）应当正确、完整、直译，不宜只写缩写。</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2</w:t>
      </w:r>
      <w:r w:rsidRPr="00E155AD">
        <w:rPr>
          <w:rFonts w:eastAsia="仿宋_GB2312"/>
          <w:sz w:val="32"/>
          <w:szCs w:val="32"/>
        </w:rPr>
        <w:t>．【包装规格】</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）产品技术要求中应与说明书一致。</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2</w:t>
      </w:r>
      <w:r w:rsidRPr="00E155AD">
        <w:rPr>
          <w:rFonts w:eastAsia="仿宋_GB2312"/>
          <w:sz w:val="32"/>
          <w:szCs w:val="32"/>
        </w:rPr>
        <w:t>）注明装量或可测试的样本数，如</w:t>
      </w:r>
      <w:r w:rsidRPr="00E155AD">
        <w:rPr>
          <w:rFonts w:eastAsia="仿宋_GB2312"/>
          <w:sz w:val="32"/>
          <w:szCs w:val="32"/>
        </w:rPr>
        <w:t>××</w:t>
      </w:r>
      <w:r w:rsidRPr="00E155AD">
        <w:rPr>
          <w:rFonts w:eastAsia="仿宋_GB2312"/>
          <w:sz w:val="32"/>
          <w:szCs w:val="32"/>
        </w:rPr>
        <w:t>测试</w:t>
      </w:r>
      <w:r w:rsidRPr="00E155AD">
        <w:rPr>
          <w:rFonts w:eastAsia="仿宋_GB2312"/>
          <w:sz w:val="32"/>
          <w:szCs w:val="32"/>
        </w:rPr>
        <w:t>/</w:t>
      </w:r>
      <w:r w:rsidRPr="00E155AD">
        <w:rPr>
          <w:rFonts w:eastAsia="仿宋_GB2312"/>
          <w:sz w:val="32"/>
          <w:szCs w:val="32"/>
        </w:rPr>
        <w:t>盒、</w:t>
      </w:r>
      <w:r w:rsidRPr="00E155AD">
        <w:rPr>
          <w:rFonts w:eastAsia="仿宋_GB2312"/>
          <w:sz w:val="32"/>
          <w:szCs w:val="32"/>
        </w:rPr>
        <w:t>××mL</w:t>
      </w:r>
      <w:r w:rsidRPr="00E155AD">
        <w:rPr>
          <w:rFonts w:eastAsia="仿宋_GB2312"/>
          <w:sz w:val="32"/>
          <w:szCs w:val="32"/>
        </w:rPr>
        <w:t>。</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3.</w:t>
      </w:r>
      <w:r w:rsidRPr="00E155AD">
        <w:rPr>
          <w:rFonts w:eastAsia="仿宋_GB2312"/>
          <w:sz w:val="32"/>
          <w:szCs w:val="32"/>
        </w:rPr>
        <w:t>【预期用途】应至少包括以下几部分内容：</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）说明试剂用于定量检测人体血清中缺血修饰白蛋白的含量；</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2</w:t>
      </w:r>
      <w:r w:rsidRPr="00E155AD">
        <w:rPr>
          <w:rFonts w:eastAsia="仿宋_GB2312"/>
          <w:sz w:val="32"/>
          <w:szCs w:val="32"/>
        </w:rPr>
        <w:t>）强调：主要用于对心肌缺血性疾病的辅助判断，不能作为急性心肌梗死早期识别或确诊的依据。</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4.</w:t>
      </w:r>
      <w:r w:rsidRPr="00E155AD">
        <w:rPr>
          <w:rFonts w:eastAsia="仿宋_GB2312"/>
          <w:sz w:val="32"/>
          <w:szCs w:val="32"/>
        </w:rPr>
        <w:t>【检验原理】</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血清白蛋白与</w:t>
      </w:r>
      <w:r w:rsidRPr="00E155AD">
        <w:rPr>
          <w:rFonts w:eastAsia="仿宋_GB2312"/>
          <w:sz w:val="32"/>
          <w:szCs w:val="32"/>
        </w:rPr>
        <w:t>Co2+</w:t>
      </w:r>
      <w:r w:rsidRPr="00E155AD">
        <w:rPr>
          <w:rFonts w:eastAsia="仿宋_GB2312"/>
          <w:sz w:val="32"/>
          <w:szCs w:val="32"/>
        </w:rPr>
        <w:t>结合后，剩余的游离</w:t>
      </w:r>
      <w:r w:rsidRPr="00E155AD">
        <w:rPr>
          <w:rFonts w:eastAsia="仿宋_GB2312"/>
          <w:sz w:val="32"/>
          <w:szCs w:val="32"/>
        </w:rPr>
        <w:t>Co2+</w:t>
      </w:r>
      <w:r w:rsidRPr="00E155AD">
        <w:rPr>
          <w:rFonts w:eastAsia="仿宋_GB2312"/>
          <w:sz w:val="32"/>
          <w:szCs w:val="32"/>
        </w:rPr>
        <w:t>与有机显色物反应生成红褐色产物，用特定波长（如：</w:t>
      </w:r>
      <w:r w:rsidRPr="00E155AD">
        <w:rPr>
          <w:rFonts w:eastAsia="仿宋_GB2312"/>
          <w:sz w:val="32"/>
          <w:szCs w:val="32"/>
        </w:rPr>
        <w:t>510nm</w:t>
      </w:r>
      <w:r w:rsidRPr="00E155AD">
        <w:rPr>
          <w:rFonts w:eastAsia="仿宋_GB2312"/>
          <w:sz w:val="32"/>
          <w:szCs w:val="32"/>
        </w:rPr>
        <w:t>）进行测定，通过吸光度的变化与校准曲线进行比较，当测试结果以白蛋白钴离子结合能力（</w:t>
      </w:r>
      <w:r w:rsidRPr="00E155AD">
        <w:rPr>
          <w:rFonts w:eastAsia="仿宋_GB2312"/>
          <w:sz w:val="32"/>
          <w:szCs w:val="32"/>
        </w:rPr>
        <w:t>ACB</w:t>
      </w:r>
      <w:r w:rsidRPr="00E155AD">
        <w:rPr>
          <w:rFonts w:eastAsia="仿宋_GB2312"/>
          <w:sz w:val="32"/>
          <w:szCs w:val="32"/>
        </w:rPr>
        <w:t>值）表示时，应通过相应公式转换为</w:t>
      </w:r>
      <w:r w:rsidRPr="00E155AD">
        <w:rPr>
          <w:rFonts w:eastAsia="仿宋_GB2312"/>
          <w:sz w:val="32"/>
          <w:szCs w:val="32"/>
        </w:rPr>
        <w:t>IMA</w:t>
      </w:r>
      <w:r w:rsidRPr="00E155AD">
        <w:rPr>
          <w:rFonts w:eastAsia="仿宋_GB2312"/>
          <w:sz w:val="32"/>
          <w:szCs w:val="32"/>
        </w:rPr>
        <w:t>的值。</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5.</w:t>
      </w:r>
      <w:r w:rsidRPr="00E155AD">
        <w:rPr>
          <w:rFonts w:eastAsia="仿宋_GB2312"/>
          <w:sz w:val="32"/>
          <w:szCs w:val="32"/>
        </w:rPr>
        <w:t>【主要组成成分】</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）说明试剂包含组分的名称、数量、比例或浓度等信息，如果对于正确的操作很重要，应提供其生物学来源及其他特性；</w:t>
      </w:r>
      <w:r w:rsidRPr="00E155AD">
        <w:rPr>
          <w:rFonts w:eastAsia="仿宋_GB2312"/>
          <w:sz w:val="32"/>
          <w:szCs w:val="32"/>
        </w:rPr>
        <w:lastRenderedPageBreak/>
        <w:t>明确说明不同批号试剂中各组分是否可以互换。</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2</w:t>
      </w:r>
      <w:r w:rsidRPr="00E155AD">
        <w:rPr>
          <w:rFonts w:eastAsia="仿宋_GB2312"/>
          <w:sz w:val="32"/>
          <w:szCs w:val="32"/>
        </w:rPr>
        <w:t>）试剂内如包含校准品和</w:t>
      </w:r>
      <w:r w:rsidRPr="00E155AD">
        <w:rPr>
          <w:rFonts w:eastAsia="仿宋_GB2312"/>
          <w:sz w:val="32"/>
          <w:szCs w:val="32"/>
        </w:rPr>
        <w:t>/</w:t>
      </w:r>
      <w:r w:rsidRPr="00E155AD">
        <w:rPr>
          <w:rFonts w:eastAsia="仿宋_GB2312"/>
          <w:sz w:val="32"/>
          <w:szCs w:val="32"/>
        </w:rPr>
        <w:t>或质控品，应说明其主要组成成分及其生物学来源，校准品应注明其定值及溯源性，质控品应有合适的靶值范围。</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6.</w:t>
      </w:r>
      <w:r w:rsidRPr="00E155AD">
        <w:rPr>
          <w:rFonts w:eastAsia="仿宋_GB2312"/>
          <w:sz w:val="32"/>
          <w:szCs w:val="32"/>
        </w:rPr>
        <w:t>【样本要求】重点明确以下内容：</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）样本采集前对患者的要求：如采集时间、采集顺序等，是否受临床症状、用药情况等因素的影响。</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2</w:t>
      </w:r>
      <w:r w:rsidRPr="00E155AD">
        <w:rPr>
          <w:rFonts w:eastAsia="仿宋_GB2312"/>
          <w:sz w:val="32"/>
          <w:szCs w:val="32"/>
        </w:rPr>
        <w:t>）样本采集：说明采集方法、样本类型（血清）及添加物等。</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3</w:t>
      </w:r>
      <w:r w:rsidRPr="00E155AD">
        <w:rPr>
          <w:rFonts w:eastAsia="仿宋_GB2312"/>
          <w:sz w:val="32"/>
          <w:szCs w:val="32"/>
        </w:rPr>
        <w:t>）样本处理及保存：样本处理方法、保存条件及期限、运输条件等。冷藏</w:t>
      </w:r>
      <w:r w:rsidRPr="00E155AD">
        <w:rPr>
          <w:rFonts w:eastAsia="仿宋_GB2312"/>
          <w:sz w:val="32"/>
          <w:szCs w:val="32"/>
        </w:rPr>
        <w:t>/</w:t>
      </w:r>
      <w:r w:rsidRPr="00E155AD">
        <w:rPr>
          <w:rFonts w:eastAsia="仿宋_GB2312"/>
          <w:sz w:val="32"/>
          <w:szCs w:val="32"/>
        </w:rPr>
        <w:t>冷冻样本检测前是否须恢复室温，冻融次数等。</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7</w:t>
      </w:r>
      <w:r w:rsidRPr="00E155AD">
        <w:rPr>
          <w:rFonts w:eastAsia="仿宋_GB2312"/>
          <w:sz w:val="32"/>
          <w:szCs w:val="32"/>
        </w:rPr>
        <w:t>．【储存条件及有效期】</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）对试剂的效期稳定性、复溶稳定性（如有）、开瓶稳定性等信息作详细介绍。包括环境温湿度、避光条件等。</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2</w:t>
      </w:r>
      <w:r w:rsidRPr="00E155AD">
        <w:rPr>
          <w:rFonts w:eastAsia="仿宋_GB2312"/>
          <w:sz w:val="32"/>
          <w:szCs w:val="32"/>
        </w:rPr>
        <w:t>）不同组分保存条件及有效期不同时，应分别说明，产品总有效期以其中效期最短的为准。</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注：保存条件不应有模糊表述，如</w:t>
      </w:r>
      <w:r w:rsidRPr="00E155AD">
        <w:rPr>
          <w:rFonts w:eastAsia="仿宋_GB2312"/>
          <w:sz w:val="32"/>
          <w:szCs w:val="32"/>
        </w:rPr>
        <w:t>“</w:t>
      </w:r>
      <w:r w:rsidRPr="00E155AD">
        <w:rPr>
          <w:rFonts w:eastAsia="仿宋_GB2312"/>
          <w:sz w:val="32"/>
          <w:szCs w:val="32"/>
        </w:rPr>
        <w:t>常温</w:t>
      </w:r>
      <w:r w:rsidRPr="00E155AD">
        <w:rPr>
          <w:rFonts w:eastAsia="仿宋_GB2312"/>
          <w:sz w:val="32"/>
          <w:szCs w:val="32"/>
        </w:rPr>
        <w:t>”</w:t>
      </w:r>
      <w:r w:rsidRPr="00E155AD">
        <w:rPr>
          <w:rFonts w:eastAsia="仿宋_GB2312"/>
          <w:sz w:val="32"/>
          <w:szCs w:val="32"/>
        </w:rPr>
        <w:t>、</w:t>
      </w:r>
      <w:r w:rsidRPr="00E155AD">
        <w:rPr>
          <w:rFonts w:eastAsia="仿宋_GB2312"/>
          <w:sz w:val="32"/>
          <w:szCs w:val="32"/>
        </w:rPr>
        <w:t>“</w:t>
      </w:r>
      <w:r w:rsidRPr="00E155AD">
        <w:rPr>
          <w:rFonts w:eastAsia="仿宋_GB2312"/>
          <w:sz w:val="32"/>
          <w:szCs w:val="32"/>
        </w:rPr>
        <w:t>室温</w:t>
      </w:r>
      <w:r w:rsidRPr="00E155AD">
        <w:rPr>
          <w:rFonts w:eastAsia="仿宋_GB2312"/>
          <w:sz w:val="32"/>
          <w:szCs w:val="32"/>
        </w:rPr>
        <w:t>”</w:t>
      </w:r>
      <w:r w:rsidRPr="00E155AD">
        <w:rPr>
          <w:rFonts w:eastAsia="仿宋_GB2312"/>
          <w:sz w:val="32"/>
          <w:szCs w:val="32"/>
        </w:rPr>
        <w:t>。稳定期限应以月或日或小时为单位。</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8.</w:t>
      </w:r>
      <w:r w:rsidRPr="00E155AD">
        <w:rPr>
          <w:rFonts w:eastAsia="仿宋_GB2312"/>
          <w:sz w:val="32"/>
          <w:szCs w:val="32"/>
        </w:rPr>
        <w:t>【适用机型】</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）说明可适用的仪器，并提供与仪器有关的必要信息以便用户能够作出最好的选择。</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2</w:t>
      </w:r>
      <w:r w:rsidRPr="00E155AD">
        <w:rPr>
          <w:rFonts w:eastAsia="仿宋_GB2312"/>
          <w:sz w:val="32"/>
          <w:szCs w:val="32"/>
        </w:rPr>
        <w:t>）应写明具体适用仪器的型号，不能泛指某一系列仪器。</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9.</w:t>
      </w:r>
      <w:r w:rsidRPr="00E155AD">
        <w:rPr>
          <w:rFonts w:eastAsia="仿宋_GB2312"/>
          <w:sz w:val="32"/>
          <w:szCs w:val="32"/>
        </w:rPr>
        <w:t>【检验方法】详细说明试验操作的各个步骤，包括：</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）试剂配制方法、注意事项。</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lastRenderedPageBreak/>
        <w:t>（</w:t>
      </w:r>
      <w:r w:rsidRPr="00E155AD">
        <w:rPr>
          <w:rFonts w:eastAsia="仿宋_GB2312"/>
          <w:sz w:val="32"/>
          <w:szCs w:val="32"/>
        </w:rPr>
        <w:t>2</w:t>
      </w:r>
      <w:r w:rsidRPr="00E155AD">
        <w:rPr>
          <w:rFonts w:eastAsia="仿宋_GB2312"/>
          <w:sz w:val="32"/>
          <w:szCs w:val="32"/>
        </w:rPr>
        <w:t>）试验条件：温度、时间、仪器波长等以及试验过程中的注意事项。</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3</w:t>
      </w:r>
      <w:r w:rsidRPr="00E155AD">
        <w:rPr>
          <w:rFonts w:eastAsia="仿宋_GB2312"/>
          <w:sz w:val="32"/>
          <w:szCs w:val="32"/>
        </w:rPr>
        <w:t>）校准：校准品的使用方法、注意事项，应注明推荐的仪器校准周期，以及何种情况须重新校准。</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4</w:t>
      </w:r>
      <w:r w:rsidRPr="00E155AD">
        <w:rPr>
          <w:rFonts w:eastAsia="仿宋_GB2312"/>
          <w:sz w:val="32"/>
          <w:szCs w:val="32"/>
        </w:rPr>
        <w:t>）质量控制：质控品的使用方法、对质控结果的必要解释以及推荐的质控周期等。</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10.</w:t>
      </w:r>
      <w:r w:rsidRPr="00E155AD">
        <w:rPr>
          <w:rFonts w:eastAsia="仿宋_GB2312"/>
          <w:sz w:val="32"/>
          <w:szCs w:val="32"/>
        </w:rPr>
        <w:t>【产品性能指标】</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产品性能指标应符合产品技术要求。说明该产品主要性能指标，应至少包括：试剂空白吸光度、分析灵敏度、线性范围、准确度、精密度、特异性等。</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11.</w:t>
      </w:r>
      <w:r w:rsidRPr="00E155AD">
        <w:rPr>
          <w:rFonts w:eastAsia="仿宋_GB2312"/>
          <w:sz w:val="32"/>
          <w:szCs w:val="32"/>
        </w:rPr>
        <w:t>【阳性判断值或者参考区间】</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）说明阳性判断值或者参考区间，并简要说明阳性判断值或者参考区间的确定方法。</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2</w:t>
      </w:r>
      <w:r w:rsidRPr="00E155AD">
        <w:rPr>
          <w:rFonts w:eastAsia="仿宋_GB2312"/>
          <w:sz w:val="32"/>
          <w:szCs w:val="32"/>
        </w:rPr>
        <w:t>）简单介绍设定该阳性判断值或者参考区间所选健康人群的区域特征，建议注明以下字样</w:t>
      </w:r>
      <w:r w:rsidRPr="00E155AD">
        <w:rPr>
          <w:rFonts w:eastAsia="仿宋_GB2312"/>
          <w:sz w:val="32"/>
          <w:szCs w:val="32"/>
        </w:rPr>
        <w:t>“</w:t>
      </w:r>
      <w:r w:rsidRPr="00E155AD">
        <w:rPr>
          <w:rFonts w:eastAsia="仿宋_GB2312"/>
          <w:sz w:val="32"/>
          <w:szCs w:val="32"/>
        </w:rPr>
        <w:t>由于地理、人种、性别及年龄等差异，建议各实验室建立自己的阳性判断值或者参考区间</w:t>
      </w:r>
      <w:r w:rsidRPr="00E155AD">
        <w:rPr>
          <w:rFonts w:eastAsia="仿宋_GB2312"/>
          <w:sz w:val="32"/>
          <w:szCs w:val="32"/>
        </w:rPr>
        <w:t>”</w:t>
      </w:r>
      <w:r w:rsidRPr="00E155AD">
        <w:rPr>
          <w:rFonts w:eastAsia="仿宋_GB2312"/>
          <w:sz w:val="32"/>
          <w:szCs w:val="32"/>
        </w:rPr>
        <w:t>。</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12.</w:t>
      </w:r>
      <w:r w:rsidRPr="00E155AD">
        <w:rPr>
          <w:rFonts w:eastAsia="仿宋_GB2312"/>
          <w:sz w:val="32"/>
          <w:szCs w:val="32"/>
        </w:rPr>
        <w:t>【检验结果的解释】</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说明可能对试验结果产生影响的因素；说明在何种情况下需要进行试验。</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13.</w:t>
      </w:r>
      <w:r w:rsidRPr="00E155AD">
        <w:rPr>
          <w:rFonts w:eastAsia="仿宋_GB2312"/>
          <w:sz w:val="32"/>
          <w:szCs w:val="32"/>
        </w:rPr>
        <w:t>【注意事项】应至少包括以下内容：</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1</w:t>
      </w:r>
      <w:r w:rsidRPr="00E155AD">
        <w:rPr>
          <w:rFonts w:eastAsia="仿宋_GB2312"/>
          <w:sz w:val="32"/>
          <w:szCs w:val="32"/>
        </w:rPr>
        <w:t>）本试剂的检测结果仅供临床参考，对患者的临床诊治应结合其症状</w:t>
      </w:r>
      <w:r w:rsidRPr="00E155AD">
        <w:rPr>
          <w:rFonts w:eastAsia="仿宋_GB2312"/>
          <w:sz w:val="32"/>
          <w:szCs w:val="32"/>
        </w:rPr>
        <w:t>/</w:t>
      </w:r>
      <w:r w:rsidRPr="00E155AD">
        <w:rPr>
          <w:rFonts w:eastAsia="仿宋_GB2312"/>
          <w:sz w:val="32"/>
          <w:szCs w:val="32"/>
        </w:rPr>
        <w:t>体征、病史、其他实验室检查等情况综合考虑。</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2</w:t>
      </w:r>
      <w:r w:rsidRPr="00E155AD">
        <w:rPr>
          <w:rFonts w:eastAsia="仿宋_GB2312"/>
          <w:sz w:val="32"/>
          <w:szCs w:val="32"/>
        </w:rPr>
        <w:t>）使用不同生产商的试剂对同一份样本进行检测可能会存在差异。</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3</w:t>
      </w:r>
      <w:r w:rsidRPr="00E155AD">
        <w:rPr>
          <w:rFonts w:eastAsia="仿宋_GB2312"/>
          <w:sz w:val="32"/>
          <w:szCs w:val="32"/>
        </w:rPr>
        <w:t>）样本：对所有样本和反应废弃物都应视为传染源对待，</w:t>
      </w:r>
      <w:r w:rsidRPr="00E155AD">
        <w:rPr>
          <w:rFonts w:eastAsia="仿宋_GB2312"/>
          <w:sz w:val="32"/>
          <w:szCs w:val="32"/>
        </w:rPr>
        <w:lastRenderedPageBreak/>
        <w:t>提示操作者采取必要的防护措施。</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w:t>
      </w:r>
      <w:r w:rsidRPr="00E155AD">
        <w:rPr>
          <w:rFonts w:eastAsia="仿宋_GB2312"/>
          <w:sz w:val="32"/>
          <w:szCs w:val="32"/>
        </w:rPr>
        <w:t>4</w:t>
      </w:r>
      <w:r w:rsidRPr="00E155AD">
        <w:rPr>
          <w:rFonts w:eastAsia="仿宋_GB2312"/>
          <w:sz w:val="32"/>
          <w:szCs w:val="32"/>
        </w:rPr>
        <w:t>）干扰因素：明确常见干扰物质如：抗凝物质、溶血（血红蛋白）、高脂、高胆红素等对检测结果的影响，并注明可接受的最高限值。</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14.</w:t>
      </w:r>
      <w:r w:rsidRPr="00E155AD">
        <w:rPr>
          <w:rFonts w:eastAsia="仿宋_GB2312"/>
          <w:sz w:val="32"/>
          <w:szCs w:val="32"/>
        </w:rPr>
        <w:t>【标识的解释】如有图形或符号，请解释其代表的意义。</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15.</w:t>
      </w:r>
      <w:r w:rsidRPr="00E155AD">
        <w:rPr>
          <w:rFonts w:eastAsia="仿宋_GB2312"/>
          <w:sz w:val="32"/>
          <w:szCs w:val="32"/>
        </w:rPr>
        <w:t>【参考文献】</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注明引用参考文献，其书写应清楚、易查询且格式规范统一。</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16.</w:t>
      </w:r>
      <w:r w:rsidRPr="00E155AD">
        <w:rPr>
          <w:rFonts w:eastAsia="仿宋_GB2312"/>
          <w:sz w:val="32"/>
          <w:szCs w:val="32"/>
        </w:rPr>
        <w:t>【基本信息】</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16.1</w:t>
      </w:r>
      <w:r w:rsidRPr="00E155AD">
        <w:rPr>
          <w:rFonts w:eastAsia="仿宋_GB2312"/>
          <w:sz w:val="32"/>
          <w:szCs w:val="32"/>
        </w:rPr>
        <w:t>境内体外诊断试剂</w:t>
      </w:r>
    </w:p>
    <w:p w:rsidR="00B43BE5" w:rsidRPr="00E155AD" w:rsidRDefault="00B43BE5" w:rsidP="00B43BE5">
      <w:pPr>
        <w:spacing w:line="520" w:lineRule="exact"/>
        <w:ind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E155AD">
          <w:rPr>
            <w:rFonts w:eastAsia="仿宋_GB2312"/>
            <w:sz w:val="32"/>
            <w:szCs w:val="32"/>
          </w:rPr>
          <w:t>16.1.1</w:t>
        </w:r>
      </w:smartTag>
      <w:r w:rsidRPr="00E155AD">
        <w:rPr>
          <w:rFonts w:eastAsia="仿宋_GB2312"/>
          <w:sz w:val="32"/>
          <w:szCs w:val="32"/>
        </w:rPr>
        <w:t>注册人与生产企业为同一企业的，按以下格式标注基本信息：注册人</w:t>
      </w:r>
      <w:r w:rsidRPr="00E155AD">
        <w:rPr>
          <w:rFonts w:eastAsia="仿宋_GB2312"/>
          <w:sz w:val="32"/>
          <w:szCs w:val="32"/>
        </w:rPr>
        <w:t>/</w:t>
      </w:r>
      <w:r w:rsidRPr="00E155AD">
        <w:rPr>
          <w:rFonts w:eastAsia="仿宋_GB2312"/>
          <w:sz w:val="32"/>
          <w:szCs w:val="32"/>
        </w:rPr>
        <w:t>生产企业名称，住所，联系方式，售后服务单位名称，联系方式，生产地址，生产许可证编号</w:t>
      </w:r>
    </w:p>
    <w:p w:rsidR="00B43BE5" w:rsidRPr="00E155AD" w:rsidRDefault="00B43BE5" w:rsidP="00B43BE5">
      <w:pPr>
        <w:spacing w:line="520" w:lineRule="exact"/>
        <w:ind w:firstLine="640"/>
        <w:rPr>
          <w:rFonts w:eastAsia="仿宋_GB2312"/>
          <w:sz w:val="32"/>
          <w:szCs w:val="32"/>
        </w:rPr>
      </w:pPr>
      <w:smartTag w:uri="urn:schemas-microsoft-com:office:smarttags" w:element="chsdate">
        <w:smartTagPr>
          <w:attr w:name="IsROCDate" w:val="False"/>
          <w:attr w:name="IsLunarDate" w:val="False"/>
          <w:attr w:name="Day" w:val="30"/>
          <w:attr w:name="Month" w:val="12"/>
          <w:attr w:name="Year" w:val="1899"/>
        </w:smartTagPr>
        <w:r w:rsidRPr="00E155AD">
          <w:rPr>
            <w:rFonts w:eastAsia="仿宋_GB2312"/>
            <w:sz w:val="32"/>
            <w:szCs w:val="32"/>
          </w:rPr>
          <w:t>16.1.2</w:t>
        </w:r>
      </w:smartTag>
      <w:r w:rsidRPr="00E155AD">
        <w:rPr>
          <w:rFonts w:eastAsia="仿宋_GB2312"/>
          <w:sz w:val="32"/>
          <w:szCs w:val="32"/>
        </w:rPr>
        <w:t>委托生产的按照以下格式标注基本信息：注册人名称，住所，联系方式，售后服务单位名称，联系方式，受托企业的名称，住所，生产地址，生产许可证编号</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16.2</w:t>
      </w:r>
      <w:r w:rsidRPr="00E155AD">
        <w:rPr>
          <w:rFonts w:eastAsia="仿宋_GB2312"/>
          <w:sz w:val="32"/>
          <w:szCs w:val="32"/>
        </w:rPr>
        <w:t>进口体外诊断试剂</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按照以下格式标注基本信息：</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注册人</w:t>
      </w:r>
      <w:r w:rsidRPr="00E155AD">
        <w:rPr>
          <w:rFonts w:eastAsia="仿宋_GB2312"/>
          <w:sz w:val="32"/>
          <w:szCs w:val="32"/>
        </w:rPr>
        <w:t>/</w:t>
      </w:r>
      <w:r w:rsidRPr="00E155AD">
        <w:rPr>
          <w:rFonts w:eastAsia="仿宋_GB2312"/>
          <w:sz w:val="32"/>
          <w:szCs w:val="32"/>
        </w:rPr>
        <w:t>生产企业名称，住所，生产地址，联系方式，售后服务单位名称，联系方式，代理人的名称，住所，联系方式</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17.</w:t>
      </w:r>
      <w:r w:rsidRPr="00E155AD">
        <w:rPr>
          <w:rFonts w:eastAsia="仿宋_GB2312"/>
          <w:sz w:val="32"/>
          <w:szCs w:val="32"/>
        </w:rPr>
        <w:t>【医疗器械注册证编号</w:t>
      </w:r>
      <w:r w:rsidRPr="00E155AD">
        <w:rPr>
          <w:rFonts w:eastAsia="仿宋_GB2312"/>
          <w:sz w:val="32"/>
          <w:szCs w:val="32"/>
        </w:rPr>
        <w:t>/</w:t>
      </w:r>
      <w:r w:rsidRPr="00E155AD">
        <w:rPr>
          <w:rFonts w:eastAsia="仿宋_GB2312"/>
          <w:sz w:val="32"/>
          <w:szCs w:val="32"/>
        </w:rPr>
        <w:t>产品技术要求编号】</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应当写明医疗器械注册证编号</w:t>
      </w:r>
      <w:r w:rsidRPr="00E155AD">
        <w:rPr>
          <w:rFonts w:eastAsia="仿宋_GB2312"/>
          <w:sz w:val="32"/>
          <w:szCs w:val="32"/>
        </w:rPr>
        <w:t>/</w:t>
      </w:r>
      <w:r w:rsidRPr="00E155AD">
        <w:rPr>
          <w:rFonts w:eastAsia="仿宋_GB2312"/>
          <w:sz w:val="32"/>
          <w:szCs w:val="32"/>
        </w:rPr>
        <w:t>产品技术要求编号。</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18.</w:t>
      </w:r>
      <w:r w:rsidRPr="00E155AD">
        <w:rPr>
          <w:rFonts w:eastAsia="仿宋_GB2312"/>
          <w:sz w:val="32"/>
          <w:szCs w:val="32"/>
        </w:rPr>
        <w:t>【说明书核准日期及修改日期】</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应注明该产品说明书的核准日期。如曾进行过说明书的变更申请，还应该同时注明说明书的修改日期。</w:t>
      </w:r>
    </w:p>
    <w:p w:rsidR="00B43BE5" w:rsidRPr="002F1680" w:rsidRDefault="00B43BE5" w:rsidP="00B43BE5">
      <w:pPr>
        <w:spacing w:line="520" w:lineRule="exact"/>
        <w:ind w:firstLine="640"/>
        <w:rPr>
          <w:rFonts w:eastAsia="黑体"/>
          <w:bCs/>
          <w:color w:val="000000"/>
          <w:sz w:val="32"/>
          <w:szCs w:val="32"/>
        </w:rPr>
      </w:pPr>
      <w:r w:rsidRPr="002F1680">
        <w:rPr>
          <w:rFonts w:eastAsia="黑体"/>
          <w:bCs/>
          <w:color w:val="000000"/>
          <w:sz w:val="32"/>
          <w:szCs w:val="32"/>
        </w:rPr>
        <w:t>三、审查关注点</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lastRenderedPageBreak/>
        <w:t>（一）测试结果可以有两种报告方式：</w:t>
      </w:r>
      <w:r w:rsidRPr="00E155AD">
        <w:rPr>
          <w:rFonts w:eastAsia="仿宋_GB2312"/>
          <w:sz w:val="32"/>
          <w:szCs w:val="32"/>
        </w:rPr>
        <w:t>IMA</w:t>
      </w:r>
      <w:r w:rsidRPr="00E155AD">
        <w:rPr>
          <w:rFonts w:eastAsia="仿宋_GB2312"/>
          <w:sz w:val="32"/>
          <w:szCs w:val="32"/>
        </w:rPr>
        <w:t>值和</w:t>
      </w:r>
      <w:r w:rsidRPr="00E155AD">
        <w:rPr>
          <w:rFonts w:eastAsia="仿宋_GB2312"/>
          <w:sz w:val="32"/>
          <w:szCs w:val="32"/>
        </w:rPr>
        <w:t>ACB</w:t>
      </w:r>
      <w:r w:rsidRPr="00E155AD">
        <w:rPr>
          <w:rFonts w:eastAsia="仿宋_GB2312"/>
          <w:sz w:val="32"/>
          <w:szCs w:val="32"/>
        </w:rPr>
        <w:t>值，之间可通过公式进行转换。</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（二）关注产品预期用途有关的描述是否与临床研究结论一致。临床研究用参比试剂和第三方确认试剂的预期用途应与申请产品预期用途一致。申报样本类型应在临床研究中进行验证。</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（三）产品说明书的编写内容及格式是否符合《体外诊断试剂说明书编写指导原则》的要求，相关内容是否符合《医疗器械说明书和标签管理规定》（国家食品药品监督管理总局令第</w:t>
      </w:r>
      <w:r w:rsidRPr="00E155AD">
        <w:rPr>
          <w:rFonts w:eastAsia="仿宋_GB2312"/>
          <w:sz w:val="32"/>
          <w:szCs w:val="32"/>
        </w:rPr>
        <w:t>6</w:t>
      </w:r>
      <w:r w:rsidRPr="00E155AD">
        <w:rPr>
          <w:rFonts w:eastAsia="仿宋_GB2312"/>
          <w:sz w:val="32"/>
          <w:szCs w:val="32"/>
        </w:rPr>
        <w:t>号）中对说明书的要求。</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（四）分析性能评估指标及结果是否满足产品技术要求的规定；是否满足本指导原则中各指标验证的要求；参考区间确定使用的方法是否合理，数据统计是否符合统计学的相关要求，结论是否和说明书声称一致。</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（五）试剂盒的稳定性研究方法是否合理，稳定性结论是否和说明书声称一致。</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六）临床试验采用的样本类型及病例是否满足试剂盒声称的预期用途，样本量及临床研究单位的选择、对比试剂的选择、统计方法及研究结果、临床方案及报告撰写的格式等是否符合《体外诊断试剂临床试验技术指导原则》对相关内容的规定。</w:t>
      </w:r>
    </w:p>
    <w:p w:rsidR="00B43BE5" w:rsidRPr="002F1680" w:rsidRDefault="00B43BE5" w:rsidP="00B43BE5">
      <w:pPr>
        <w:spacing w:line="520" w:lineRule="exact"/>
        <w:ind w:firstLine="640"/>
        <w:rPr>
          <w:rFonts w:eastAsia="黑体"/>
          <w:bCs/>
          <w:color w:val="000000"/>
          <w:sz w:val="32"/>
          <w:szCs w:val="32"/>
        </w:rPr>
      </w:pPr>
      <w:r w:rsidRPr="002F1680">
        <w:rPr>
          <w:rFonts w:eastAsia="黑体"/>
          <w:bCs/>
          <w:color w:val="000000"/>
          <w:sz w:val="32"/>
          <w:szCs w:val="32"/>
        </w:rPr>
        <w:t>四、名词解释</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（一）缺血修饰白蛋白（</w:t>
      </w:r>
      <w:r w:rsidRPr="00E155AD">
        <w:rPr>
          <w:rFonts w:eastAsia="仿宋_GB2312"/>
          <w:sz w:val="32"/>
          <w:szCs w:val="32"/>
        </w:rPr>
        <w:t>Ischemia Modified Albumin</w:t>
      </w:r>
      <w:r w:rsidRPr="00E155AD">
        <w:rPr>
          <w:rFonts w:eastAsia="仿宋_GB2312"/>
          <w:sz w:val="32"/>
          <w:szCs w:val="32"/>
        </w:rPr>
        <w:t>，</w:t>
      </w:r>
      <w:r w:rsidRPr="00E155AD">
        <w:rPr>
          <w:rFonts w:eastAsia="仿宋_GB2312"/>
          <w:sz w:val="32"/>
          <w:szCs w:val="32"/>
        </w:rPr>
        <w:t>IMA</w:t>
      </w:r>
      <w:r w:rsidRPr="00E155AD">
        <w:rPr>
          <w:rFonts w:eastAsia="仿宋_GB2312"/>
          <w:sz w:val="32"/>
          <w:szCs w:val="32"/>
        </w:rPr>
        <w:t>）：在缺血</w:t>
      </w:r>
      <w:r w:rsidRPr="00E155AD">
        <w:rPr>
          <w:rFonts w:eastAsia="仿宋_GB2312"/>
          <w:sz w:val="32"/>
          <w:szCs w:val="32"/>
        </w:rPr>
        <w:t>/</w:t>
      </w:r>
      <w:r w:rsidRPr="00E155AD">
        <w:rPr>
          <w:rFonts w:eastAsia="仿宋_GB2312"/>
          <w:sz w:val="32"/>
          <w:szCs w:val="32"/>
        </w:rPr>
        <w:t>再灌注发生时，导致白蛋白与过渡金属的结合能力改变，这种因缺血而发生与过渡金属结合能力改变的白蛋白则称缺血修饰白蛋白。</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（二）准确度（</w:t>
      </w:r>
      <w:r w:rsidRPr="00E155AD">
        <w:rPr>
          <w:rFonts w:eastAsia="仿宋_GB2312"/>
          <w:sz w:val="32"/>
          <w:szCs w:val="32"/>
        </w:rPr>
        <w:t>Accuracy</w:t>
      </w:r>
      <w:r w:rsidRPr="00E155AD">
        <w:rPr>
          <w:rFonts w:eastAsia="仿宋_GB2312"/>
          <w:sz w:val="32"/>
          <w:szCs w:val="32"/>
        </w:rPr>
        <w:t>）：和单一测量结果相关的测量误</w:t>
      </w:r>
      <w:r w:rsidRPr="00E155AD">
        <w:rPr>
          <w:rFonts w:eastAsia="仿宋_GB2312"/>
          <w:sz w:val="32"/>
          <w:szCs w:val="32"/>
        </w:rPr>
        <w:lastRenderedPageBreak/>
        <w:t>差</w:t>
      </w:r>
      <w:r w:rsidRPr="00E155AD">
        <w:rPr>
          <w:rFonts w:eastAsia="仿宋_GB2312"/>
          <w:sz w:val="32"/>
          <w:szCs w:val="32"/>
        </w:rPr>
        <w:t>,</w:t>
      </w:r>
      <w:r w:rsidRPr="00E155AD">
        <w:rPr>
          <w:rFonts w:eastAsia="仿宋_GB2312"/>
          <w:sz w:val="32"/>
          <w:szCs w:val="32"/>
        </w:rPr>
        <w:t>是测量结果与赋予样品的真实量值之间的差异。</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（三）分析特异性（</w:t>
      </w:r>
      <w:r w:rsidRPr="00E155AD">
        <w:rPr>
          <w:rFonts w:eastAsia="仿宋_GB2312"/>
          <w:sz w:val="32"/>
          <w:szCs w:val="32"/>
        </w:rPr>
        <w:t>Analytical Specificity</w:t>
      </w:r>
      <w:r w:rsidRPr="00E155AD">
        <w:rPr>
          <w:rFonts w:eastAsia="仿宋_GB2312"/>
          <w:sz w:val="32"/>
          <w:szCs w:val="32"/>
        </w:rPr>
        <w:t>）：用于描述检测程序在样品中有其他量存在时只检测或测量被测量存在的能力。测量程序的分析特异性一般以评述的潜在干扰量列表来描述，列表中同时给出在医学相关浓度值水平观察到的分析干扰程度。</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（四）线性（</w:t>
      </w:r>
      <w:r w:rsidRPr="00E155AD">
        <w:rPr>
          <w:rFonts w:eastAsia="仿宋_GB2312"/>
          <w:sz w:val="32"/>
          <w:szCs w:val="32"/>
        </w:rPr>
        <w:t>linearity</w:t>
      </w:r>
      <w:r w:rsidRPr="00E155AD">
        <w:rPr>
          <w:rFonts w:eastAsia="仿宋_GB2312"/>
          <w:sz w:val="32"/>
          <w:szCs w:val="32"/>
        </w:rPr>
        <w:t>）：在给定测量范围内，给出的测量结果与样品中实际存在的被测量物的值成比例的能力。线性是描述一个测量系统的测量示值或测量结果相关样本的赋值符合直线的属性。</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（五）精密度（</w:t>
      </w:r>
      <w:r w:rsidRPr="00E155AD">
        <w:rPr>
          <w:rFonts w:eastAsia="仿宋_GB2312"/>
          <w:sz w:val="32"/>
          <w:szCs w:val="32"/>
        </w:rPr>
        <w:t>Precision</w:t>
      </w:r>
      <w:r w:rsidRPr="00E155AD">
        <w:rPr>
          <w:rFonts w:eastAsia="仿宋_GB2312"/>
          <w:sz w:val="32"/>
          <w:szCs w:val="32"/>
        </w:rPr>
        <w:t>）：代表对一个均一样品的一系列测量结果的随机测量误差的性能特征。精密度是一个定性概念。对于其数字表达，使用术语不精密度。后者是在规定条件下得到的测量结果分散性，以标准差和（或）变异系数表达。</w:t>
      </w:r>
    </w:p>
    <w:p w:rsidR="00B43BE5" w:rsidRPr="002F1680" w:rsidRDefault="00B43BE5" w:rsidP="00B43BE5">
      <w:pPr>
        <w:spacing w:line="520" w:lineRule="exact"/>
        <w:ind w:firstLine="640"/>
        <w:rPr>
          <w:sz w:val="32"/>
          <w:szCs w:val="32"/>
        </w:rPr>
      </w:pPr>
      <w:r w:rsidRPr="002F1680">
        <w:rPr>
          <w:rFonts w:eastAsia="黑体"/>
          <w:bCs/>
          <w:color w:val="000000"/>
          <w:sz w:val="32"/>
          <w:szCs w:val="32"/>
        </w:rPr>
        <w:t>五、参考资料</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（一）《体外诊断试剂注册管理办法》（国家食品药品监督管理总局令第</w:t>
      </w:r>
      <w:r w:rsidRPr="00E155AD">
        <w:rPr>
          <w:rFonts w:eastAsia="仿宋_GB2312"/>
          <w:sz w:val="32"/>
          <w:szCs w:val="32"/>
        </w:rPr>
        <w:t>5</w:t>
      </w:r>
      <w:r w:rsidRPr="00E155AD">
        <w:rPr>
          <w:rFonts w:eastAsia="仿宋_GB2312"/>
          <w:sz w:val="32"/>
          <w:szCs w:val="32"/>
        </w:rPr>
        <w:t>号）</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（二）《体外诊断试剂临床试验技术指导原则》（国家食品药品监督管理总局通告</w:t>
      </w:r>
      <w:r w:rsidRPr="00E155AD">
        <w:rPr>
          <w:rFonts w:eastAsia="仿宋_GB2312"/>
          <w:sz w:val="32"/>
          <w:szCs w:val="32"/>
        </w:rPr>
        <w:t>2014</w:t>
      </w:r>
      <w:r w:rsidRPr="00E155AD">
        <w:rPr>
          <w:rFonts w:eastAsia="仿宋_GB2312"/>
          <w:sz w:val="32"/>
          <w:szCs w:val="32"/>
        </w:rPr>
        <w:t>第</w:t>
      </w:r>
      <w:r w:rsidRPr="00E155AD">
        <w:rPr>
          <w:rFonts w:eastAsia="仿宋_GB2312"/>
          <w:sz w:val="32"/>
          <w:szCs w:val="32"/>
        </w:rPr>
        <w:t>16</w:t>
      </w:r>
      <w:r w:rsidRPr="00E155AD">
        <w:rPr>
          <w:rFonts w:eastAsia="仿宋_GB2312"/>
          <w:sz w:val="32"/>
          <w:szCs w:val="32"/>
        </w:rPr>
        <w:t>号）</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（三）《体外诊断试剂说明书编写指导原则》（国家食品药品监督管理总局通告</w:t>
      </w:r>
      <w:r w:rsidRPr="00E155AD">
        <w:rPr>
          <w:rFonts w:eastAsia="仿宋_GB2312"/>
          <w:sz w:val="32"/>
          <w:szCs w:val="32"/>
        </w:rPr>
        <w:t>2014</w:t>
      </w:r>
      <w:r w:rsidRPr="00E155AD">
        <w:rPr>
          <w:rFonts w:eastAsia="仿宋_GB2312"/>
          <w:sz w:val="32"/>
          <w:szCs w:val="32"/>
        </w:rPr>
        <w:t>年第</w:t>
      </w:r>
      <w:r w:rsidRPr="00E155AD">
        <w:rPr>
          <w:rFonts w:eastAsia="仿宋_GB2312"/>
          <w:sz w:val="32"/>
          <w:szCs w:val="32"/>
        </w:rPr>
        <w:t>17</w:t>
      </w:r>
      <w:r w:rsidRPr="00E155AD">
        <w:rPr>
          <w:rFonts w:eastAsia="仿宋_GB2312"/>
          <w:sz w:val="32"/>
          <w:szCs w:val="32"/>
        </w:rPr>
        <w:t>号）</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（四）《关于公布体外诊断试剂注册申报资料要求和批准证明文件格式的公告》（国家食品药品监督管理总局公告</w:t>
      </w:r>
      <w:r w:rsidRPr="00E155AD">
        <w:rPr>
          <w:rFonts w:eastAsia="仿宋_GB2312"/>
          <w:sz w:val="32"/>
          <w:szCs w:val="32"/>
        </w:rPr>
        <w:t>2014</w:t>
      </w:r>
      <w:r w:rsidRPr="00E155AD">
        <w:rPr>
          <w:rFonts w:eastAsia="仿宋_GB2312"/>
          <w:sz w:val="32"/>
          <w:szCs w:val="32"/>
        </w:rPr>
        <w:t>年第</w:t>
      </w:r>
      <w:r w:rsidRPr="00E155AD">
        <w:rPr>
          <w:rFonts w:eastAsia="仿宋_GB2312"/>
          <w:sz w:val="32"/>
          <w:szCs w:val="32"/>
        </w:rPr>
        <w:t>44</w:t>
      </w:r>
      <w:r w:rsidRPr="00E155AD">
        <w:rPr>
          <w:rFonts w:eastAsia="仿宋_GB2312"/>
          <w:sz w:val="32"/>
          <w:szCs w:val="32"/>
        </w:rPr>
        <w:t>号）</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（五）</w:t>
      </w:r>
      <w:r w:rsidRPr="00E155AD">
        <w:rPr>
          <w:rFonts w:eastAsia="仿宋_GB2312"/>
          <w:sz w:val="32"/>
          <w:szCs w:val="32"/>
        </w:rPr>
        <w:t xml:space="preserve">Morrow DA,de LemosJA,Sabatine MS,et al.The search for a biomarker of cardiac ischemia.Clin Chem </w:t>
      </w:r>
      <w:r w:rsidRPr="00E155AD">
        <w:rPr>
          <w:rFonts w:eastAsia="仿宋_GB2312"/>
          <w:sz w:val="32"/>
          <w:szCs w:val="32"/>
        </w:rPr>
        <w:lastRenderedPageBreak/>
        <w:t>2003;49(4):537—539</w:t>
      </w:r>
    </w:p>
    <w:p w:rsidR="00B43BE5" w:rsidRPr="00E155AD" w:rsidRDefault="00B43BE5" w:rsidP="00B43BE5">
      <w:pPr>
        <w:spacing w:line="520" w:lineRule="exact"/>
        <w:ind w:firstLine="640"/>
        <w:rPr>
          <w:rFonts w:eastAsia="仿宋_GB2312"/>
          <w:sz w:val="32"/>
          <w:szCs w:val="32"/>
        </w:rPr>
      </w:pPr>
      <w:r w:rsidRPr="00E155AD">
        <w:rPr>
          <w:rFonts w:eastAsia="仿宋_GB2312"/>
          <w:sz w:val="32"/>
          <w:szCs w:val="32"/>
        </w:rPr>
        <w:t>（六）《临床检验质量管理技术基础》（第二版），冯仁丰，上海科学技术文献出版社</w:t>
      </w:r>
      <w:r w:rsidRPr="00E155AD">
        <w:rPr>
          <w:rFonts w:eastAsia="仿宋_GB2312"/>
          <w:sz w:val="32"/>
          <w:szCs w:val="32"/>
        </w:rPr>
        <w:t>, 2007</w:t>
      </w:r>
      <w:r w:rsidRPr="00E155AD">
        <w:rPr>
          <w:rFonts w:eastAsia="仿宋_GB2312"/>
          <w:sz w:val="32"/>
          <w:szCs w:val="32"/>
        </w:rPr>
        <w:t>年</w:t>
      </w:r>
      <w:r w:rsidRPr="00E155AD">
        <w:rPr>
          <w:rFonts w:eastAsia="仿宋_GB2312"/>
          <w:sz w:val="32"/>
          <w:szCs w:val="32"/>
        </w:rPr>
        <w:t>4</w:t>
      </w:r>
      <w:r w:rsidRPr="00E155AD">
        <w:rPr>
          <w:rFonts w:eastAsia="仿宋_GB2312"/>
          <w:sz w:val="32"/>
          <w:szCs w:val="32"/>
        </w:rPr>
        <w:t>月</w:t>
      </w:r>
    </w:p>
    <w:p w:rsidR="00B43BE5" w:rsidRPr="002F1680" w:rsidRDefault="00B43BE5" w:rsidP="00B43BE5">
      <w:pPr>
        <w:spacing w:line="520" w:lineRule="exact"/>
        <w:ind w:rightChars="116" w:right="244"/>
        <w:jc w:val="center"/>
        <w:rPr>
          <w:bCs/>
          <w:color w:val="000000"/>
          <w:sz w:val="32"/>
          <w:szCs w:val="32"/>
        </w:rPr>
      </w:pPr>
      <w:r w:rsidRPr="002F1680">
        <w:rPr>
          <w:bCs/>
          <w:color w:val="000000"/>
          <w:sz w:val="32"/>
          <w:szCs w:val="32"/>
        </w:rPr>
        <w:br w:type="page"/>
      </w:r>
    </w:p>
    <w:p w:rsidR="00B43BE5" w:rsidRPr="002F1680" w:rsidRDefault="00B43BE5" w:rsidP="00B43BE5">
      <w:pPr>
        <w:spacing w:line="520" w:lineRule="exact"/>
        <w:ind w:rightChars="116" w:right="244"/>
        <w:jc w:val="center"/>
        <w:rPr>
          <w:bCs/>
          <w:color w:val="000000"/>
          <w:sz w:val="32"/>
          <w:szCs w:val="32"/>
        </w:rPr>
      </w:pPr>
    </w:p>
    <w:p w:rsidR="00B43BE5" w:rsidRPr="00E155AD" w:rsidRDefault="00B43BE5" w:rsidP="00B43BE5">
      <w:pPr>
        <w:spacing w:line="520" w:lineRule="exact"/>
        <w:ind w:rightChars="-21" w:right="-44"/>
        <w:jc w:val="center"/>
        <w:rPr>
          <w:rFonts w:ascii="方正小标宋简体" w:eastAsia="方正小标宋简体" w:hint="eastAsia"/>
          <w:sz w:val="44"/>
          <w:szCs w:val="44"/>
        </w:rPr>
      </w:pPr>
      <w:r w:rsidRPr="00E155AD">
        <w:rPr>
          <w:rFonts w:ascii="方正小标宋简体" w:eastAsia="方正小标宋简体" w:hint="eastAsia"/>
          <w:sz w:val="44"/>
          <w:szCs w:val="44"/>
        </w:rPr>
        <w:t>缺血修饰白蛋白测定试剂注册技术审查</w:t>
      </w:r>
    </w:p>
    <w:p w:rsidR="00B43BE5" w:rsidRPr="002F1680" w:rsidRDefault="00B43BE5" w:rsidP="00B43BE5">
      <w:pPr>
        <w:spacing w:line="520" w:lineRule="exact"/>
        <w:ind w:rightChars="-21" w:right="-44"/>
        <w:jc w:val="center"/>
        <w:rPr>
          <w:rFonts w:eastAsia="方正小标宋简体"/>
          <w:sz w:val="44"/>
          <w:szCs w:val="44"/>
        </w:rPr>
      </w:pPr>
      <w:r w:rsidRPr="00E155AD">
        <w:rPr>
          <w:rFonts w:ascii="方正小标宋简体" w:eastAsia="方正小标宋简体" w:hint="eastAsia"/>
          <w:sz w:val="44"/>
          <w:szCs w:val="44"/>
        </w:rPr>
        <w:t>指导原则（2016年修订版）编制说明</w:t>
      </w:r>
    </w:p>
    <w:p w:rsidR="00B43BE5" w:rsidRPr="002F1680" w:rsidRDefault="00B43BE5" w:rsidP="00B43BE5">
      <w:pPr>
        <w:spacing w:line="520" w:lineRule="exact"/>
        <w:ind w:rightChars="116" w:right="244" w:firstLine="880"/>
        <w:jc w:val="center"/>
        <w:rPr>
          <w:rFonts w:eastAsia="方正小标宋_GBK"/>
          <w:sz w:val="44"/>
          <w:szCs w:val="44"/>
        </w:rPr>
      </w:pPr>
    </w:p>
    <w:p w:rsidR="00B43BE5" w:rsidRPr="002F1680" w:rsidRDefault="00B43BE5" w:rsidP="00B43BE5">
      <w:pPr>
        <w:spacing w:line="520" w:lineRule="exact"/>
        <w:ind w:firstLine="640"/>
        <w:rPr>
          <w:rFonts w:eastAsia="黑体"/>
          <w:bCs/>
          <w:color w:val="000000"/>
          <w:sz w:val="32"/>
          <w:szCs w:val="32"/>
        </w:rPr>
      </w:pPr>
      <w:r w:rsidRPr="002F1680">
        <w:rPr>
          <w:rFonts w:eastAsia="黑体"/>
          <w:bCs/>
          <w:color w:val="000000"/>
          <w:sz w:val="32"/>
          <w:szCs w:val="32"/>
        </w:rPr>
        <w:t>一、指导原则编写目的</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一）本指导原则编写的目的是用于指导和规范缺血修饰白蛋白测定试剂产品的技术审评工作，帮助审评人员理解和掌握该类产品原理、组成、性能、预期用途等内容，把握技术审评工作基本要求和尺度，对产品安全性、有效性作出系统评价；</w:t>
      </w:r>
      <w:r w:rsidRPr="00E155AD">
        <w:rPr>
          <w:rFonts w:eastAsia="仿宋_GB2312"/>
          <w:bCs/>
          <w:color w:val="000000"/>
          <w:sz w:val="32"/>
          <w:szCs w:val="30"/>
        </w:rPr>
        <w:t>同时也可指导注册申请人的产品注册申报。</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二）由于缺血修饰白蛋白测定试剂产品在不断发展，审查员仍需从风险分析的角度认真确认申报产品的预期用途与风险管理是否相当；由于我国医疗器械法规框架仍在构建中，审查员需密切关注相关法规、标准及最新进展，关注审评产品实际组成、原理、预期用途等方面的个性特征，以保证产品审评符合现行法规要求。</w:t>
      </w:r>
    </w:p>
    <w:p w:rsidR="00B43BE5" w:rsidRPr="002F1680" w:rsidRDefault="00B43BE5" w:rsidP="00B43BE5">
      <w:pPr>
        <w:spacing w:line="520" w:lineRule="exact"/>
        <w:ind w:firstLine="640"/>
        <w:rPr>
          <w:rFonts w:eastAsia="黑体"/>
          <w:bCs/>
          <w:color w:val="000000"/>
          <w:sz w:val="32"/>
          <w:szCs w:val="32"/>
        </w:rPr>
      </w:pPr>
      <w:r w:rsidRPr="002F1680">
        <w:rPr>
          <w:rFonts w:eastAsia="黑体"/>
          <w:bCs/>
          <w:color w:val="000000"/>
          <w:sz w:val="32"/>
          <w:szCs w:val="32"/>
        </w:rPr>
        <w:t>二、指导原则编写依据</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（一）《医疗器械监督管理条例》（国务院令第</w:t>
      </w:r>
      <w:r w:rsidRPr="00E155AD">
        <w:rPr>
          <w:rFonts w:eastAsia="仿宋_GB2312"/>
          <w:bCs/>
          <w:color w:val="000000"/>
          <w:sz w:val="32"/>
          <w:szCs w:val="32"/>
        </w:rPr>
        <w:t>650</w:t>
      </w:r>
      <w:r w:rsidRPr="00E155AD">
        <w:rPr>
          <w:rFonts w:eastAsia="仿宋_GB2312"/>
          <w:bCs/>
          <w:color w:val="000000"/>
          <w:sz w:val="32"/>
          <w:szCs w:val="32"/>
        </w:rPr>
        <w:t>号）</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（二）《体外诊断试剂注册管理办法》（国家食品药品监督管理总局令第</w:t>
      </w:r>
      <w:r w:rsidRPr="00E155AD">
        <w:rPr>
          <w:rFonts w:eastAsia="仿宋_GB2312"/>
          <w:bCs/>
          <w:color w:val="000000"/>
          <w:sz w:val="32"/>
          <w:szCs w:val="32"/>
        </w:rPr>
        <w:t>5</w:t>
      </w:r>
      <w:r w:rsidRPr="00E155AD">
        <w:rPr>
          <w:rFonts w:eastAsia="仿宋_GB2312"/>
          <w:bCs/>
          <w:color w:val="000000"/>
          <w:sz w:val="32"/>
          <w:szCs w:val="32"/>
        </w:rPr>
        <w:t>号）</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（三）《关于发布体外诊断试剂临床试验技术指导原则的通告》（国家食品药品监督管理总局通告</w:t>
      </w:r>
      <w:r w:rsidRPr="00E155AD">
        <w:rPr>
          <w:rFonts w:eastAsia="仿宋_GB2312"/>
          <w:bCs/>
          <w:color w:val="000000"/>
          <w:sz w:val="32"/>
          <w:szCs w:val="32"/>
        </w:rPr>
        <w:t>2014</w:t>
      </w:r>
      <w:r w:rsidRPr="00E155AD">
        <w:rPr>
          <w:rFonts w:eastAsia="仿宋_GB2312"/>
          <w:bCs/>
          <w:color w:val="000000"/>
          <w:sz w:val="32"/>
          <w:szCs w:val="32"/>
        </w:rPr>
        <w:t>第</w:t>
      </w:r>
      <w:r w:rsidRPr="00E155AD">
        <w:rPr>
          <w:rFonts w:eastAsia="仿宋_GB2312"/>
          <w:bCs/>
          <w:color w:val="000000"/>
          <w:sz w:val="32"/>
          <w:szCs w:val="32"/>
        </w:rPr>
        <w:t>16</w:t>
      </w:r>
      <w:r w:rsidRPr="00E155AD">
        <w:rPr>
          <w:rFonts w:eastAsia="仿宋_GB2312"/>
          <w:bCs/>
          <w:color w:val="000000"/>
          <w:sz w:val="32"/>
          <w:szCs w:val="32"/>
        </w:rPr>
        <w:t>号）</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（四）《关于发布体外诊断试剂说明书编写指导原则的通告》（国家食品药品监督管理总局通告</w:t>
      </w:r>
      <w:r w:rsidRPr="00E155AD">
        <w:rPr>
          <w:rFonts w:eastAsia="仿宋_GB2312"/>
          <w:bCs/>
          <w:color w:val="000000"/>
          <w:sz w:val="32"/>
          <w:szCs w:val="32"/>
        </w:rPr>
        <w:t>2014</w:t>
      </w:r>
      <w:r w:rsidRPr="00E155AD">
        <w:rPr>
          <w:rFonts w:eastAsia="仿宋_GB2312"/>
          <w:bCs/>
          <w:color w:val="000000"/>
          <w:sz w:val="32"/>
          <w:szCs w:val="32"/>
        </w:rPr>
        <w:t>年第</w:t>
      </w:r>
      <w:r w:rsidRPr="00E155AD">
        <w:rPr>
          <w:rFonts w:eastAsia="仿宋_GB2312"/>
          <w:bCs/>
          <w:color w:val="000000"/>
          <w:sz w:val="32"/>
          <w:szCs w:val="32"/>
        </w:rPr>
        <w:t>17</w:t>
      </w:r>
      <w:r w:rsidRPr="00E155AD">
        <w:rPr>
          <w:rFonts w:eastAsia="仿宋_GB2312"/>
          <w:bCs/>
          <w:color w:val="000000"/>
          <w:sz w:val="32"/>
          <w:szCs w:val="32"/>
        </w:rPr>
        <w:t>号）</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lastRenderedPageBreak/>
        <w:t>（五）</w:t>
      </w:r>
      <w:r w:rsidRPr="00E155AD">
        <w:rPr>
          <w:rFonts w:eastAsia="仿宋_GB2312"/>
          <w:bCs/>
          <w:color w:val="000000"/>
          <w:sz w:val="32"/>
          <w:szCs w:val="32"/>
        </w:rPr>
        <w:t>GB/T 26124—2011</w:t>
      </w:r>
      <w:r w:rsidRPr="00E155AD">
        <w:rPr>
          <w:rFonts w:eastAsia="仿宋_GB2312"/>
          <w:bCs/>
          <w:color w:val="000000"/>
          <w:sz w:val="32"/>
          <w:szCs w:val="32"/>
        </w:rPr>
        <w:t>《临床化学体外诊断试剂</w:t>
      </w:r>
      <w:r w:rsidRPr="00E155AD">
        <w:rPr>
          <w:rFonts w:eastAsia="仿宋_GB2312"/>
          <w:bCs/>
          <w:color w:val="000000"/>
          <w:sz w:val="32"/>
          <w:szCs w:val="32"/>
        </w:rPr>
        <w:t>(</w:t>
      </w:r>
      <w:r w:rsidRPr="00E155AD">
        <w:rPr>
          <w:rFonts w:eastAsia="仿宋_GB2312"/>
          <w:bCs/>
          <w:color w:val="000000"/>
          <w:sz w:val="32"/>
          <w:szCs w:val="32"/>
        </w:rPr>
        <w:t>盒</w:t>
      </w:r>
      <w:r w:rsidRPr="00E155AD">
        <w:rPr>
          <w:rFonts w:eastAsia="仿宋_GB2312"/>
          <w:bCs/>
          <w:color w:val="000000"/>
          <w:sz w:val="32"/>
          <w:szCs w:val="32"/>
        </w:rPr>
        <w:t>)</w:t>
      </w:r>
      <w:r w:rsidRPr="00E155AD">
        <w:rPr>
          <w:rFonts w:eastAsia="仿宋_GB2312"/>
          <w:bCs/>
          <w:color w:val="000000"/>
          <w:sz w:val="32"/>
          <w:szCs w:val="32"/>
        </w:rPr>
        <w:t>》</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（六）国家食品药品监督管理部门发布的其他规范性文件</w:t>
      </w:r>
    </w:p>
    <w:p w:rsidR="00B43BE5" w:rsidRPr="002F1680" w:rsidRDefault="00B43BE5" w:rsidP="00B43BE5">
      <w:pPr>
        <w:spacing w:line="520" w:lineRule="exact"/>
        <w:ind w:firstLine="640"/>
        <w:rPr>
          <w:rFonts w:eastAsia="黑体"/>
          <w:bCs/>
          <w:color w:val="000000"/>
          <w:sz w:val="32"/>
          <w:szCs w:val="32"/>
        </w:rPr>
      </w:pPr>
      <w:r w:rsidRPr="002F1680">
        <w:rPr>
          <w:rFonts w:eastAsia="黑体"/>
          <w:bCs/>
          <w:color w:val="000000"/>
          <w:sz w:val="32"/>
          <w:szCs w:val="32"/>
        </w:rPr>
        <w:t>三、指导原则重点内容说明</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（一）产品性能指标参考了《缺血修饰白蛋白测定试剂（盒）（报批稿）》行业标准。</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（二）</w:t>
      </w:r>
      <w:r w:rsidRPr="00E155AD">
        <w:rPr>
          <w:rFonts w:eastAsia="仿宋_GB2312"/>
          <w:bCs/>
          <w:color w:val="000000"/>
          <w:sz w:val="32"/>
          <w:szCs w:val="32"/>
        </w:rPr>
        <w:t>1U/mL</w:t>
      </w:r>
      <w:r w:rsidRPr="00E155AD">
        <w:rPr>
          <w:rFonts w:eastAsia="仿宋_GB2312"/>
          <w:bCs/>
          <w:color w:val="000000"/>
          <w:sz w:val="32"/>
          <w:szCs w:val="32"/>
        </w:rPr>
        <w:t>缺血修饰白蛋白：</w:t>
      </w:r>
      <w:r w:rsidRPr="00E155AD">
        <w:rPr>
          <w:rFonts w:eastAsia="仿宋_GB2312"/>
          <w:bCs/>
          <w:color w:val="000000"/>
          <w:sz w:val="32"/>
          <w:szCs w:val="32"/>
        </w:rPr>
        <w:t>1U/mL</w:t>
      </w:r>
      <w:r w:rsidRPr="00E155AD">
        <w:rPr>
          <w:rFonts w:eastAsia="仿宋_GB2312"/>
          <w:bCs/>
          <w:color w:val="000000"/>
          <w:sz w:val="32"/>
          <w:szCs w:val="32"/>
        </w:rPr>
        <w:t>缺血修饰白蛋白定义为</w:t>
      </w:r>
      <w:r w:rsidRPr="001E4124">
        <w:rPr>
          <w:rFonts w:eastAsia="仿宋_GB2312"/>
          <w:bCs/>
          <w:color w:val="000000"/>
          <w:sz w:val="32"/>
          <w:szCs w:val="32"/>
        </w:rPr>
        <w:t>1</w:t>
      </w:r>
      <w:r w:rsidRPr="00E155AD">
        <w:rPr>
          <w:rFonts w:eastAsia="仿宋_GB2312"/>
          <w:bCs/>
          <w:color w:val="000000"/>
          <w:sz w:val="32"/>
          <w:szCs w:val="32"/>
        </w:rPr>
        <w:t>mL</w:t>
      </w:r>
      <w:r w:rsidRPr="00E155AD">
        <w:rPr>
          <w:rFonts w:eastAsia="仿宋_GB2312"/>
          <w:bCs/>
          <w:color w:val="000000"/>
          <w:sz w:val="32"/>
          <w:szCs w:val="32"/>
        </w:rPr>
        <w:t>健康人血清中白蛋白（</w:t>
      </w:r>
      <w:r w:rsidRPr="00E155AD">
        <w:rPr>
          <w:rFonts w:eastAsia="仿宋_GB2312"/>
          <w:bCs/>
          <w:color w:val="000000"/>
          <w:sz w:val="32"/>
          <w:szCs w:val="32"/>
        </w:rPr>
        <w:t>45g/L</w:t>
      </w:r>
      <w:r w:rsidRPr="00E155AD">
        <w:rPr>
          <w:rFonts w:eastAsia="仿宋_GB2312"/>
          <w:bCs/>
          <w:color w:val="000000"/>
          <w:sz w:val="32"/>
          <w:szCs w:val="32"/>
        </w:rPr>
        <w:t>）结合</w:t>
      </w:r>
      <w:r w:rsidRPr="00E155AD">
        <w:rPr>
          <w:rFonts w:eastAsia="仿宋_GB2312"/>
          <w:bCs/>
          <w:color w:val="000000"/>
          <w:sz w:val="32"/>
          <w:szCs w:val="32"/>
        </w:rPr>
        <w:t>1μgCo2+</w:t>
      </w:r>
      <w:r w:rsidRPr="00E155AD">
        <w:rPr>
          <w:rFonts w:eastAsia="仿宋_GB2312"/>
          <w:bCs/>
          <w:color w:val="000000"/>
          <w:sz w:val="32"/>
          <w:szCs w:val="32"/>
        </w:rPr>
        <w:t>，当测试结果以白蛋白钴离子结合能力（</w:t>
      </w:r>
      <w:r w:rsidRPr="00E155AD">
        <w:rPr>
          <w:rFonts w:eastAsia="仿宋_GB2312"/>
          <w:bCs/>
          <w:color w:val="000000"/>
          <w:sz w:val="32"/>
          <w:szCs w:val="32"/>
        </w:rPr>
        <w:t>ACB</w:t>
      </w:r>
      <w:r w:rsidRPr="00E155AD">
        <w:rPr>
          <w:rFonts w:eastAsia="仿宋_GB2312"/>
          <w:bCs/>
          <w:color w:val="000000"/>
          <w:sz w:val="32"/>
          <w:szCs w:val="32"/>
        </w:rPr>
        <w:t>值）表示时，应通过相应公式转换为</w:t>
      </w:r>
      <w:r w:rsidRPr="00E155AD">
        <w:rPr>
          <w:rFonts w:eastAsia="仿宋_GB2312"/>
          <w:bCs/>
          <w:color w:val="000000"/>
          <w:sz w:val="32"/>
          <w:szCs w:val="32"/>
        </w:rPr>
        <w:t xml:space="preserve"> IMA</w:t>
      </w:r>
      <w:r w:rsidRPr="00E155AD">
        <w:rPr>
          <w:rFonts w:eastAsia="仿宋_GB2312"/>
          <w:bCs/>
          <w:color w:val="000000"/>
          <w:sz w:val="32"/>
          <w:szCs w:val="32"/>
        </w:rPr>
        <w:t>的值。</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（三）准确度：测试白蛋白浓度为</w:t>
      </w:r>
      <w:r w:rsidRPr="00E155AD">
        <w:rPr>
          <w:rFonts w:eastAsia="仿宋_GB2312"/>
          <w:bCs/>
          <w:color w:val="000000"/>
          <w:sz w:val="32"/>
          <w:szCs w:val="32"/>
        </w:rPr>
        <w:t>45 g/L</w:t>
      </w:r>
      <w:r w:rsidRPr="00E155AD">
        <w:rPr>
          <w:rFonts w:eastAsia="仿宋_GB2312"/>
          <w:bCs/>
          <w:color w:val="000000"/>
          <w:sz w:val="32"/>
          <w:szCs w:val="32"/>
        </w:rPr>
        <w:t>的血清样本，</w:t>
      </w:r>
      <w:r w:rsidRPr="00E155AD">
        <w:rPr>
          <w:rFonts w:eastAsia="仿宋_GB2312"/>
          <w:bCs/>
          <w:color w:val="000000"/>
          <w:sz w:val="32"/>
          <w:szCs w:val="32"/>
        </w:rPr>
        <w:t>IMA/ALB</w:t>
      </w:r>
      <w:r w:rsidRPr="00E155AD">
        <w:rPr>
          <w:rFonts w:eastAsia="仿宋_GB2312"/>
          <w:bCs/>
          <w:color w:val="000000"/>
          <w:sz w:val="32"/>
          <w:szCs w:val="32"/>
        </w:rPr>
        <w:t>的</w:t>
      </w:r>
      <w:r w:rsidRPr="00E155AD">
        <w:rPr>
          <w:rFonts w:eastAsia="仿宋_GB2312"/>
          <w:bCs/>
          <w:color w:val="000000"/>
          <w:sz w:val="32"/>
          <w:szCs w:val="32"/>
        </w:rPr>
        <w:t>95%</w:t>
      </w:r>
      <w:r w:rsidRPr="00E155AD">
        <w:rPr>
          <w:rFonts w:eastAsia="仿宋_GB2312"/>
          <w:bCs/>
          <w:color w:val="000000"/>
          <w:sz w:val="32"/>
          <w:szCs w:val="32"/>
        </w:rPr>
        <w:t>在［</w:t>
      </w:r>
      <w:r w:rsidRPr="00E155AD">
        <w:rPr>
          <w:rFonts w:eastAsia="仿宋_GB2312"/>
          <w:bCs/>
          <w:color w:val="000000"/>
          <w:sz w:val="32"/>
          <w:szCs w:val="32"/>
        </w:rPr>
        <w:t>1.4</w:t>
      </w:r>
      <w:r>
        <w:rPr>
          <w:rFonts w:eastAsia="仿宋_GB2312" w:hint="eastAsia"/>
          <w:bCs/>
          <w:color w:val="000000"/>
          <w:sz w:val="32"/>
          <w:szCs w:val="32"/>
        </w:rPr>
        <w:t>—</w:t>
      </w:r>
      <w:r w:rsidRPr="00E155AD">
        <w:rPr>
          <w:rFonts w:eastAsia="仿宋_GB2312"/>
          <w:bCs/>
          <w:color w:val="000000"/>
          <w:sz w:val="32"/>
          <w:szCs w:val="32"/>
        </w:rPr>
        <w:t>1.8</w:t>
      </w:r>
      <w:r w:rsidRPr="00E155AD">
        <w:rPr>
          <w:rFonts w:eastAsia="仿宋_GB2312"/>
          <w:bCs/>
          <w:color w:val="000000"/>
          <w:sz w:val="32"/>
          <w:szCs w:val="32"/>
        </w:rPr>
        <w:t>］区间内。</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（四）产品说明书根据《体外诊断试剂说明书编写指导原则》做了适当的调整，补充了【标识的解释】和【基本信息】等内容。</w:t>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（五）将产品标准要求修订为产品技术要求。</w:t>
      </w:r>
    </w:p>
    <w:p w:rsidR="00B43BE5" w:rsidRPr="002F1680" w:rsidRDefault="00B43BE5" w:rsidP="00B43BE5">
      <w:pPr>
        <w:spacing w:line="520" w:lineRule="exact"/>
        <w:ind w:firstLine="640"/>
        <w:rPr>
          <w:rFonts w:eastAsia="黑体"/>
          <w:bCs/>
          <w:color w:val="000000"/>
          <w:sz w:val="32"/>
          <w:szCs w:val="32"/>
        </w:rPr>
      </w:pPr>
      <w:r w:rsidRPr="002F1680">
        <w:rPr>
          <w:rFonts w:eastAsia="黑体"/>
          <w:bCs/>
          <w:color w:val="000000"/>
          <w:sz w:val="32"/>
          <w:szCs w:val="32"/>
        </w:rPr>
        <w:t>四、指导原则编写单位和人员</w:t>
      </w:r>
      <w:r w:rsidRPr="002F1680">
        <w:rPr>
          <w:rFonts w:eastAsia="黑体"/>
          <w:bCs/>
          <w:color w:val="000000"/>
          <w:sz w:val="32"/>
          <w:szCs w:val="32"/>
        </w:rPr>
        <w:tab/>
      </w:r>
    </w:p>
    <w:p w:rsidR="00B43BE5" w:rsidRPr="00E155AD" w:rsidRDefault="00B43BE5" w:rsidP="00B43BE5">
      <w:pPr>
        <w:spacing w:line="520" w:lineRule="exact"/>
        <w:ind w:firstLine="640"/>
        <w:rPr>
          <w:rFonts w:eastAsia="仿宋_GB2312"/>
          <w:bCs/>
          <w:color w:val="000000"/>
          <w:sz w:val="32"/>
          <w:szCs w:val="32"/>
        </w:rPr>
      </w:pPr>
      <w:r w:rsidRPr="00E155AD">
        <w:rPr>
          <w:rFonts w:eastAsia="仿宋_GB2312"/>
          <w:bCs/>
          <w:color w:val="000000"/>
          <w:sz w:val="32"/>
          <w:szCs w:val="32"/>
        </w:rPr>
        <w:t>本指导原则的编写成员由湖南省食品药品监督管理局医疗器械产品注册技术审评人员，行政审批人员、检验监测人员、生产企业代表共同组成。</w:t>
      </w:r>
    </w:p>
    <w:p w:rsidR="00B43BE5" w:rsidRPr="002F1680" w:rsidRDefault="00B43BE5" w:rsidP="00B43BE5">
      <w:pPr>
        <w:spacing w:line="520" w:lineRule="exact"/>
        <w:ind w:firstLine="640"/>
        <w:rPr>
          <w:bCs/>
          <w:color w:val="000000"/>
          <w:sz w:val="32"/>
          <w:szCs w:val="32"/>
        </w:rPr>
      </w:pPr>
    </w:p>
    <w:p w:rsidR="00B43BE5" w:rsidRPr="002F1680" w:rsidRDefault="00B43BE5" w:rsidP="00B43BE5">
      <w:pPr>
        <w:spacing w:line="520" w:lineRule="exact"/>
        <w:ind w:firstLine="600"/>
        <w:rPr>
          <w:bCs/>
          <w:color w:val="000000"/>
          <w:sz w:val="30"/>
          <w:szCs w:val="30"/>
        </w:rPr>
      </w:pPr>
    </w:p>
    <w:p w:rsidR="00B43BE5" w:rsidRDefault="00B43BE5" w:rsidP="00B43BE5">
      <w:pPr>
        <w:spacing w:line="520" w:lineRule="exact"/>
        <w:rPr>
          <w:rFonts w:eastAsia="仿宋_GB2312" w:hint="eastAsia"/>
          <w:sz w:val="32"/>
          <w:szCs w:val="32"/>
        </w:rPr>
      </w:pPr>
    </w:p>
    <w:p w:rsidR="00B43BE5" w:rsidRPr="004136FD" w:rsidRDefault="00B43BE5" w:rsidP="00B43BE5">
      <w:pPr>
        <w:tabs>
          <w:tab w:val="left" w:pos="7560"/>
        </w:tabs>
        <w:spacing w:line="800" w:lineRule="exact"/>
        <w:ind w:leftChars="284" w:left="1716" w:hangingChars="400" w:hanging="1120"/>
        <w:rPr>
          <w:rFonts w:ascii="仿宋_GB2312" w:eastAsia="仿宋_GB2312" w:hAnsi="宋体" w:hint="eastAsia"/>
          <w:sz w:val="28"/>
          <w:szCs w:val="28"/>
        </w:rPr>
      </w:pPr>
      <w:bookmarkStart w:id="1" w:name="YinFaRiQiΩ1"/>
      <w:bookmarkEnd w:id="1"/>
    </w:p>
    <w:p w:rsidR="00AC7C2A" w:rsidRPr="00B43BE5" w:rsidRDefault="00AC7C2A"/>
    <w:sectPr w:rsidR="00AC7C2A" w:rsidRPr="00B43BE5" w:rsidSect="006A5989">
      <w:headerReference w:type="even" r:id="rId25"/>
      <w:headerReference w:type="default" r:id="rId26"/>
      <w:footerReference w:type="even" r:id="rId27"/>
      <w:footerReference w:type="default" r:id="rId28"/>
      <w:headerReference w:type="first" r:id="rId29"/>
      <w:footerReference w:type="first" r:id="rId30"/>
      <w:pgSz w:w="11906" w:h="16838"/>
      <w:pgMar w:top="1758" w:right="1531" w:bottom="1588" w:left="1531"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6E0" w:rsidRDefault="00D616E0" w:rsidP="00B43BE5">
      <w:r>
        <w:separator/>
      </w:r>
    </w:p>
  </w:endnote>
  <w:endnote w:type="continuationSeparator" w:id="0">
    <w:p w:rsidR="00D616E0" w:rsidRDefault="00D616E0" w:rsidP="00B43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89" w:rsidRPr="00E155AD" w:rsidRDefault="006A5989">
    <w:pPr>
      <w:pStyle w:val="a4"/>
      <w:rPr>
        <w:sz w:val="28"/>
        <w:szCs w:val="28"/>
      </w:rPr>
    </w:pPr>
    <w:r w:rsidRPr="00E155AD">
      <w:rPr>
        <w:rFonts w:hint="eastAsia"/>
        <w:color w:val="FFFFFF"/>
        <w:sz w:val="28"/>
        <w:szCs w:val="28"/>
      </w:rPr>
      <w:t>—</w:t>
    </w:r>
    <w:r w:rsidRPr="00E155AD">
      <w:rPr>
        <w:rFonts w:hint="eastAsia"/>
        <w:sz w:val="28"/>
        <w:szCs w:val="28"/>
      </w:rPr>
      <w:t>—</w:t>
    </w:r>
    <w:r w:rsidRPr="00E155AD">
      <w:rPr>
        <w:rFonts w:hint="eastAsia"/>
        <w:sz w:val="28"/>
        <w:szCs w:val="28"/>
      </w:rPr>
      <w:t xml:space="preserve"> </w:t>
    </w:r>
    <w:r w:rsidRPr="00E155AD">
      <w:rPr>
        <w:sz w:val="28"/>
        <w:szCs w:val="28"/>
      </w:rPr>
      <w:fldChar w:fldCharType="begin"/>
    </w:r>
    <w:r w:rsidRPr="00E155AD">
      <w:rPr>
        <w:sz w:val="28"/>
        <w:szCs w:val="28"/>
      </w:rPr>
      <w:instrText>PAGE   \* MERGEFORMAT</w:instrText>
    </w:r>
    <w:r w:rsidRPr="00E155AD">
      <w:rPr>
        <w:sz w:val="28"/>
        <w:szCs w:val="28"/>
      </w:rPr>
      <w:fldChar w:fldCharType="separate"/>
    </w:r>
    <w:r w:rsidRPr="00B638B0">
      <w:rPr>
        <w:noProof/>
        <w:sz w:val="28"/>
        <w:szCs w:val="28"/>
        <w:lang w:val="zh-CN"/>
      </w:rPr>
      <w:t>2</w:t>
    </w:r>
    <w:r w:rsidRPr="00E155AD">
      <w:rPr>
        <w:sz w:val="28"/>
        <w:szCs w:val="28"/>
      </w:rPr>
      <w:fldChar w:fldCharType="end"/>
    </w:r>
    <w:r w:rsidRPr="00E155AD">
      <w:rPr>
        <w:rFonts w:hint="eastAsia"/>
        <w:sz w:val="28"/>
        <w:szCs w:val="28"/>
      </w:rPr>
      <w:t xml:space="preserve"> </w:t>
    </w:r>
    <w:r w:rsidRPr="00E155AD">
      <w:rPr>
        <w:rFonts w:hint="eastAsia"/>
        <w:sz w:val="28"/>
        <w:szCs w:val="28"/>
      </w:rPr>
      <w:t>—</w:t>
    </w:r>
  </w:p>
  <w:p w:rsidR="006A5989" w:rsidRDefault="006A5989" w:rsidP="006A5989">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89" w:rsidRPr="00E155AD" w:rsidRDefault="006A5989" w:rsidP="006A5989">
    <w:pPr>
      <w:pStyle w:val="a4"/>
      <w:wordWrap w:val="0"/>
      <w:jc w:val="right"/>
      <w:rPr>
        <w:sz w:val="28"/>
        <w:szCs w:val="28"/>
      </w:rPr>
    </w:pPr>
    <w:r w:rsidRPr="00E155AD">
      <w:rPr>
        <w:rFonts w:hint="eastAsia"/>
        <w:sz w:val="28"/>
        <w:szCs w:val="28"/>
      </w:rPr>
      <w:t>—</w:t>
    </w:r>
    <w:r w:rsidRPr="00E155AD">
      <w:rPr>
        <w:rFonts w:hint="eastAsia"/>
        <w:sz w:val="28"/>
        <w:szCs w:val="28"/>
      </w:rPr>
      <w:t xml:space="preserve"> </w:t>
    </w:r>
    <w:r w:rsidRPr="00E155AD">
      <w:rPr>
        <w:sz w:val="28"/>
        <w:szCs w:val="28"/>
      </w:rPr>
      <w:fldChar w:fldCharType="begin"/>
    </w:r>
    <w:r w:rsidRPr="00E155AD">
      <w:rPr>
        <w:sz w:val="28"/>
        <w:szCs w:val="28"/>
      </w:rPr>
      <w:instrText>PAGE   \* MERGEFORMAT</w:instrText>
    </w:r>
    <w:r w:rsidRPr="00E155AD">
      <w:rPr>
        <w:sz w:val="28"/>
        <w:szCs w:val="28"/>
      </w:rPr>
      <w:fldChar w:fldCharType="separate"/>
    </w:r>
    <w:r w:rsidR="00A425DE" w:rsidRPr="00A425DE">
      <w:rPr>
        <w:noProof/>
        <w:sz w:val="28"/>
        <w:szCs w:val="28"/>
        <w:lang w:val="zh-CN"/>
      </w:rPr>
      <w:t>2</w:t>
    </w:r>
    <w:r w:rsidRPr="00E155AD">
      <w:rPr>
        <w:sz w:val="28"/>
        <w:szCs w:val="28"/>
      </w:rPr>
      <w:fldChar w:fldCharType="end"/>
    </w:r>
    <w:r w:rsidRPr="00E155AD">
      <w:rPr>
        <w:rFonts w:hint="eastAsia"/>
        <w:sz w:val="28"/>
        <w:szCs w:val="28"/>
      </w:rPr>
      <w:t xml:space="preserve"> </w:t>
    </w:r>
    <w:r w:rsidRPr="00E155AD">
      <w:rPr>
        <w:rFonts w:hint="eastAsia"/>
        <w:sz w:val="28"/>
        <w:szCs w:val="28"/>
      </w:rPr>
      <w:t>—</w:t>
    </w:r>
    <w:r w:rsidRPr="00E155AD">
      <w:rPr>
        <w:rFonts w:hint="eastAsia"/>
        <w:color w:val="FFFFFF"/>
        <w:sz w:val="28"/>
        <w:szCs w:val="28"/>
      </w:rPr>
      <w:t>—</w:t>
    </w:r>
  </w:p>
  <w:p w:rsidR="006A5989" w:rsidRDefault="006A5989" w:rsidP="006A5989">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89" w:rsidRDefault="006A598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6E0" w:rsidRDefault="00D616E0" w:rsidP="00B43BE5">
      <w:r>
        <w:separator/>
      </w:r>
    </w:p>
  </w:footnote>
  <w:footnote w:type="continuationSeparator" w:id="0">
    <w:p w:rsidR="00D616E0" w:rsidRDefault="00D616E0" w:rsidP="00B43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89" w:rsidRDefault="006A598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89" w:rsidRDefault="006A5989">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5989" w:rsidRDefault="006A598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3BE5"/>
    <w:rsid w:val="006A5989"/>
    <w:rsid w:val="00A425DE"/>
    <w:rsid w:val="00AC7C2A"/>
    <w:rsid w:val="00B43BE5"/>
    <w:rsid w:val="00D616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3BE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3B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3BE5"/>
    <w:rPr>
      <w:sz w:val="18"/>
      <w:szCs w:val="18"/>
    </w:rPr>
  </w:style>
  <w:style w:type="paragraph" w:styleId="a4">
    <w:name w:val="footer"/>
    <w:basedOn w:val="a"/>
    <w:link w:val="Char0"/>
    <w:uiPriority w:val="99"/>
    <w:unhideWhenUsed/>
    <w:rsid w:val="00B43BE5"/>
    <w:pPr>
      <w:tabs>
        <w:tab w:val="center" w:pos="4153"/>
        <w:tab w:val="right" w:pos="8306"/>
      </w:tabs>
      <w:snapToGrid w:val="0"/>
      <w:jc w:val="left"/>
    </w:pPr>
    <w:rPr>
      <w:sz w:val="18"/>
      <w:szCs w:val="18"/>
    </w:rPr>
  </w:style>
  <w:style w:type="character" w:customStyle="1" w:styleId="Char0">
    <w:name w:val="页脚 Char"/>
    <w:basedOn w:val="a0"/>
    <w:link w:val="a4"/>
    <w:uiPriority w:val="99"/>
    <w:rsid w:val="00B43B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oleObject" Target="embeddings/oleObject7.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oleObject" Target="embeddings/oleObject9.bin"/><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E3EDC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1888</Words>
  <Characters>10765</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wxl</dc:creator>
  <cp:lastModifiedBy>管理员</cp:lastModifiedBy>
  <cp:revision>2</cp:revision>
  <dcterms:created xsi:type="dcterms:W3CDTF">2018-07-18T02:41:00Z</dcterms:created>
  <dcterms:modified xsi:type="dcterms:W3CDTF">2018-07-18T02:41:00Z</dcterms:modified>
</cp:coreProperties>
</file>