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vanish/>
          <w:sz w:val="18"/>
          <w:szCs w:val="18"/>
        </w:rPr>
      </w:pPr>
    </w:p>
    <w:p>
      <w:pPr>
        <w:keepNext w:val="0"/>
        <w:keepLines w:val="0"/>
        <w:widowControl/>
        <w:suppressLineNumbers w:val="0"/>
        <w:pBdr>
          <w:top w:val="none" w:color="auto" w:sz="0" w:space="0"/>
          <w:bottom w:val="none" w:color="auto" w:sz="0" w:space="0"/>
        </w:pBdr>
        <w:shd w:val="clear" w:fill="FFFFFF"/>
        <w:spacing w:before="0" w:beforeAutospacing="0" w:after="0" w:afterAutospacing="0"/>
        <w:ind w:left="0" w:right="0"/>
        <w:jc w:val="left"/>
        <w:rPr>
          <w:sz w:val="18"/>
          <w:szCs w:val="18"/>
        </w:rPr>
      </w:pPr>
    </w:p>
    <w:tbl>
      <w:tblPr>
        <w:tblStyle w:val="7"/>
        <w:tblW w:w="10584" w:type="dxa"/>
        <w:tblCellSpacing w:w="7" w:type="dxa"/>
        <w:tblInd w:w="45" w:type="dxa"/>
        <w:shd w:val="clear" w:color="auto" w:fill="auto"/>
        <w:tblLayout w:type="fixed"/>
        <w:tblCellMar>
          <w:top w:w="45" w:type="dxa"/>
          <w:left w:w="45" w:type="dxa"/>
          <w:bottom w:w="45" w:type="dxa"/>
          <w:right w:w="45" w:type="dxa"/>
        </w:tblCellMar>
      </w:tblPr>
      <w:tblGrid>
        <w:gridCol w:w="10584"/>
      </w:tblGrid>
      <w:tr>
        <w:tblPrEx>
          <w:shd w:val="clear" w:color="auto" w:fill="auto"/>
          <w:tblLayout w:type="fixed"/>
          <w:tblCellMar>
            <w:top w:w="45" w:type="dxa"/>
            <w:left w:w="45" w:type="dxa"/>
            <w:bottom w:w="45" w:type="dxa"/>
            <w:right w:w="45" w:type="dxa"/>
          </w:tblCellMar>
        </w:tblPrEx>
        <w:trPr>
          <w:trHeight w:val="900" w:hRule="atLeast"/>
          <w:tblCellSpacing w:w="7" w:type="dxa"/>
        </w:trPr>
        <w:tc>
          <w:tcPr>
            <w:tcW w:w="10556" w:type="dxa"/>
            <w:shd w:val="clear" w:color="auto" w:fill="auto"/>
            <w:vAlign w:val="center"/>
          </w:tcPr>
          <w:p>
            <w:pPr>
              <w:pStyle w:val="2"/>
              <w:keepNext w:val="0"/>
              <w:keepLines w:val="0"/>
              <w:widowControl/>
              <w:suppressLineNumbers w:val="0"/>
              <w:spacing w:line="405" w:lineRule="atLeast"/>
              <w:jc w:val="center"/>
              <w:rPr>
                <w:rFonts w:hint="eastAsia" w:ascii="微软雅黑" w:hAnsi="微软雅黑" w:eastAsia="微软雅黑" w:cs="微软雅黑"/>
                <w:b/>
                <w:sz w:val="24"/>
                <w:szCs w:val="24"/>
              </w:rPr>
            </w:pPr>
          </w:p>
        </w:tc>
      </w:tr>
      <w:tr>
        <w:tblPrEx>
          <w:tblLayout w:type="fixed"/>
          <w:tblCellMar>
            <w:top w:w="45" w:type="dxa"/>
            <w:left w:w="45" w:type="dxa"/>
            <w:bottom w:w="45" w:type="dxa"/>
            <w:right w:w="45" w:type="dxa"/>
          </w:tblCellMar>
        </w:tblPrEx>
        <w:trPr>
          <w:trHeight w:val="151" w:hRule="atLeast"/>
          <w:tblCellSpacing w:w="7" w:type="dxa"/>
        </w:trPr>
        <w:tc>
          <w:tcPr>
            <w:tcW w:w="10556" w:type="dxa"/>
            <w:shd w:val="clear" w:color="auto" w:fill="auto"/>
            <w:vAlign w:val="center"/>
          </w:tcPr>
          <w:p>
            <w:pPr>
              <w:keepNext w:val="0"/>
              <w:keepLines w:val="0"/>
              <w:widowControl/>
              <w:suppressLineNumbers w:val="0"/>
              <w:jc w:val="center"/>
              <w:rPr>
                <w:sz w:val="18"/>
                <w:szCs w:val="18"/>
              </w:rPr>
            </w:pPr>
          </w:p>
        </w:tc>
      </w:tr>
      <w:tr>
        <w:tblPrEx>
          <w:tblLayout w:type="fixed"/>
          <w:tblCellMar>
            <w:top w:w="45" w:type="dxa"/>
            <w:left w:w="45" w:type="dxa"/>
            <w:bottom w:w="45" w:type="dxa"/>
            <w:right w:w="45" w:type="dxa"/>
          </w:tblCellMar>
        </w:tblPrEx>
        <w:trPr>
          <w:tblCellSpacing w:w="7" w:type="dxa"/>
        </w:trPr>
        <w:tc>
          <w:tcPr>
            <w:tcW w:w="10556" w:type="dxa"/>
            <w:shd w:val="clear" w:color="auto" w:fill="auto"/>
            <w:vAlign w:val="center"/>
          </w:tcPr>
          <w:p>
            <w:pPr>
              <w:pStyle w:val="3"/>
              <w:keepNext w:val="0"/>
              <w:keepLines w:val="0"/>
              <w:widowControl/>
              <w:suppressLineNumbers w:val="0"/>
              <w:spacing w:before="300" w:beforeAutospacing="0" w:after="0" w:afterAutospacing="1" w:line="390" w:lineRule="atLeast"/>
              <w:ind w:left="0" w:right="0"/>
              <w:jc w:val="both"/>
              <w:rPr>
                <w:sz w:val="18"/>
                <w:szCs w:val="18"/>
              </w:rPr>
            </w:pPr>
            <w:bookmarkStart w:id="2" w:name="_GoBack"/>
            <w:bookmarkEnd w:id="2"/>
            <w:r>
              <w:rPr>
                <w:rFonts w:hint="eastAsia" w:ascii="微软雅黑" w:hAnsi="微软雅黑" w:eastAsia="微软雅黑" w:cs="微软雅黑"/>
                <w:kern w:val="0"/>
                <w:sz w:val="21"/>
                <w:szCs w:val="21"/>
                <w:lang w:val="en-US" w:eastAsia="zh-CN" w:bidi="ar"/>
              </w:rPr>
              <w:t>附件4</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血液流变仪血液黏度计产品技术审评</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规范（2017版）（征求意见稿）</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根据《医疗器械注册管理办法》（国家食品药品监督管理总局令第5号）的要求并结合血液流变仪/血液黏度计的特点，为规范该类产品的技术审查工作和指导该类产品的注册申报工作，特制定本规范。</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一、适用范围</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本规范适用于对血液样品进行全血黏度和(或)血浆黏度检测的血液流变仪/血液黏度计（以下简称流变仪/黏度计）。依据《医疗器械分类目录》（国药监械〔2002〕302号）该产品管理类别为II类，产品类代号为6840-1。</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流变仪/黏度计测定原理为旋转法和（或）毛细管法；操作方式有全自动和半自动。</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二、技术审查要点</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（一）产品名称的要求</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流变仪/黏度计的产品名称表达方式应为：</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（二）产品的结构和组成</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流变仪/黏度计可包括机械部分、测量部分、温控装置部分、控制部分。其中旋转法测量部分的旋转装置为锥-板式、筒-筒式等。毛细管法测量部分包括毛细管和储液池等。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（三）产品工作原理</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旋转法由两个同心的表面构成，其中一个可旋转。两个表面可为筒-筒式，或为锥-板式等。以筒-筒式为例，当旋转式黏度计中同心的两个圆筒之一以一定转速旋转时，给血样一个剪切力并使其产生分层流动。血液分层流动把转动造成的力矩传到圆筒，这时圆筒会随之偏转一定的角度，血液黏度越大，则外筒转动传到内筒的力矩越大，内筒偏转角度也越大。所以，在偏转角度与力矩之间以及力矩与样品的黏度之间呈正比关系。</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旋转法测定血液黏度的原理依据牛顿黏性定律，即：</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其中，</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kern w:val="0"/>
                <w:sz w:val="21"/>
                <w:szCs w:val="21"/>
                <w:lang w:val="en-US" w:eastAsia="zh-CN" w:bidi="ar"/>
              </w:rPr>
              <w:t>为切应力，</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kern w:val="0"/>
                <w:sz w:val="21"/>
                <w:szCs w:val="21"/>
                <w:lang w:val="en-US" w:eastAsia="zh-CN" w:bidi="ar"/>
              </w:rPr>
              <w:t>为流体的黏度系数，</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kern w:val="0"/>
                <w:sz w:val="21"/>
                <w:szCs w:val="21"/>
                <w:lang w:val="en-US" w:eastAsia="zh-CN" w:bidi="ar"/>
              </w:rPr>
              <w:t>为切变率。</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毛细管法测定原理遵循泊肃叶定律，反映的是平均切变率。一定体积的液体，在恒定的压力驱动下，流过一定管径的毛细管所需的时间与黏度成正比。</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η=πPR</w:t>
            </w:r>
            <w:r>
              <w:rPr>
                <w:rFonts w:hint="eastAsia" w:ascii="微软雅黑" w:hAnsi="微软雅黑" w:eastAsia="微软雅黑" w:cs="微软雅黑"/>
                <w:kern w:val="0"/>
                <w:sz w:val="21"/>
                <w:szCs w:val="21"/>
                <w:vertAlign w:val="superscript"/>
                <w:lang w:val="en-US" w:eastAsia="zh-CN" w:bidi="ar"/>
              </w:rPr>
              <w:t>4</w:t>
            </w:r>
            <w:r>
              <w:rPr>
                <w:rFonts w:hint="eastAsia" w:ascii="微软雅黑" w:hAnsi="微软雅黑" w:eastAsia="微软雅黑" w:cs="微软雅黑"/>
                <w:kern w:val="0"/>
                <w:sz w:val="21"/>
                <w:szCs w:val="21"/>
                <w:lang w:val="en-US" w:eastAsia="zh-CN" w:bidi="ar"/>
              </w:rPr>
              <w:t>t/8lV</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式中η是液体的黏度;R为管的半径;P为促使液体在管中流动的压力;t是流出时间;V是流过的体积;l是管的长度。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（四）注册单元划分的原则和实例</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流变仪/黏度计的注册单元原则上以技术原理、结构组成、性能指标、适用范围为划分注册单元的依据。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如：全自动流变仪与半自动流变仪不应划分为同一注册单元。</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（五）产品适用的相关标准</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流变仪/黏度计根据产品自身特点适用以下相关标准：</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1.GB/T191-2008包装储运图示标志</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 xml:space="preserve">2.GB4793.1-2007测量、控制和试验室用电气设备的安全要求第1部分：通用要求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3.GB4793.6-2008测量、控制和实验室用电气设备的安全要求 第6部分：实验室用材料加热设备的特殊要求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4.GB4793.9-2013测量、控制和实验室用电气设备的安全要求 第9部分：实验室用分析和其他目的自动和半自动设备的特殊要求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5.GB/T14710-2009医用电气设备环境要求及试验方法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6. GB/T 18268.1-2010测量、控制和实验室用的电设备 电磁兼容性要求 第1部分：通用要求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7. GB/T 18268.26-2010测量、控制和实验室用的电设备 电磁兼容性要求 第26部分：特殊要求 体外诊断(IVD)医疗设备</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8. YY/T 0316-2016医疗器械风险管理对医疗器械的应用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9. YY/T 0466.1-2009医疗器械 用于医疗器械标签、标记和提供信息的符号 第1部分：通用要求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10.YY0648-2008测量、控制和实验室用电气设备的安全要求 第2-101部分：体外诊断（IVD）医用设备的专用要求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11. YY/T 1460-2016血液流变仪</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（六）产品的适用范围/预期用途、禁忌症</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流变仪/黏度计用于测试全血和(或)血浆黏度。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产品禁忌症：暂未发现。</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（七）产品的主要风险</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流变仪/黏度计在进行风险分析时应依据YY/T0316-2016《医疗器械风险管理对医疗器械的应用》，至少应包括表1内容，企业还应根据产品的自身特点确定其他危害。</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表1血液流变仪/血液黏度计风险分析时应考虑的主要危害</w:t>
            </w:r>
            <w:r>
              <w:rPr>
                <w:rFonts w:hint="eastAsia" w:ascii="宋体" w:hAnsi="宋体" w:eastAsia="宋体" w:cs="宋体"/>
                <w:kern w:val="0"/>
                <w:sz w:val="18"/>
                <w:szCs w:val="18"/>
                <w:lang w:val="en-US" w:eastAsia="zh-CN" w:bidi="ar"/>
              </w:rPr>
              <w:t xml:space="preserve"> </w:t>
            </w:r>
          </w:p>
          <w:tbl>
            <w:tblPr>
              <w:tblStyle w:val="7"/>
              <w:tblW w:w="10465"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92"/>
              <w:gridCol w:w="2537"/>
              <w:gridCol w:w="2407"/>
              <w:gridCol w:w="3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4484"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left"/>
                    <w:rPr>
                      <w:sz w:val="18"/>
                      <w:szCs w:val="18"/>
                    </w:rPr>
                  </w:pPr>
                  <w:r>
                    <w:rPr>
                      <w:rFonts w:hint="eastAsia" w:ascii="微软雅黑" w:hAnsi="微软雅黑" w:eastAsia="微软雅黑" w:cs="微软雅黑"/>
                      <w:kern w:val="0"/>
                      <w:sz w:val="21"/>
                      <w:szCs w:val="21"/>
                      <w:lang w:val="en-US" w:eastAsia="zh-CN" w:bidi="ar"/>
                    </w:rPr>
                    <w:t>可能的危害</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left"/>
                    <w:rPr>
                      <w:sz w:val="18"/>
                      <w:szCs w:val="18"/>
                    </w:rPr>
                  </w:pPr>
                  <w:r>
                    <w:rPr>
                      <w:rFonts w:hint="eastAsia" w:ascii="微软雅黑" w:hAnsi="微软雅黑" w:eastAsia="微软雅黑" w:cs="微软雅黑"/>
                      <w:kern w:val="0"/>
                      <w:sz w:val="21"/>
                      <w:szCs w:val="21"/>
                      <w:lang w:val="en-US" w:eastAsia="zh-CN" w:bidi="ar"/>
                    </w:rPr>
                    <w:t>可能的原因</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left"/>
                    <w:rPr>
                      <w:sz w:val="18"/>
                      <w:szCs w:val="18"/>
                    </w:rPr>
                  </w:pPr>
                  <w:r>
                    <w:rPr>
                      <w:rFonts w:hint="eastAsia" w:ascii="微软雅黑" w:hAnsi="微软雅黑" w:eastAsia="微软雅黑" w:cs="微软雅黑"/>
                      <w:kern w:val="0"/>
                      <w:sz w:val="21"/>
                      <w:szCs w:val="21"/>
                      <w:lang w:val="en-US" w:eastAsia="zh-CN" w:bidi="ar"/>
                    </w:rPr>
                    <w:t>造成的后果</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restart"/>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能量危害</w:t>
                  </w:r>
                  <w:r>
                    <w:rPr>
                      <w:rFonts w:hint="eastAsia" w:ascii="宋体" w:hAnsi="宋体" w:eastAsia="宋体" w:cs="宋体"/>
                      <w:kern w:val="0"/>
                      <w:sz w:val="18"/>
                      <w:szCs w:val="18"/>
                      <w:lang w:val="en-US" w:eastAsia="zh-CN" w:bidi="ar"/>
                    </w:rPr>
                    <w:t xml:space="preserve"> </w:t>
                  </w: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电能</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电击</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使用者电击伤。</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continue"/>
                  <w:shd w:val="clear" w:color="auto" w:fill="auto"/>
                  <w:vAlign w:val="center"/>
                </w:tcPr>
                <w:p>
                  <w:pPr>
                    <w:rPr>
                      <w:rFonts w:hint="eastAsia" w:ascii="宋体"/>
                      <w:sz w:val="18"/>
                      <w:szCs w:val="18"/>
                    </w:rPr>
                  </w:pP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机械能</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部件运动过程中触碰</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使用者碰撞伤。</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restart"/>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环境危害</w:t>
                  </w:r>
                  <w:r>
                    <w:rPr>
                      <w:rFonts w:hint="eastAsia" w:ascii="宋体" w:hAnsi="宋体" w:eastAsia="宋体" w:cs="宋体"/>
                      <w:kern w:val="0"/>
                      <w:sz w:val="18"/>
                      <w:szCs w:val="18"/>
                      <w:lang w:val="en-US" w:eastAsia="zh-CN" w:bidi="ar"/>
                    </w:rPr>
                    <w:t xml:space="preserve"> </w:t>
                  </w: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电磁辐射</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仪器产生的电磁强度超标或保护元件破损。</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对操作者健康或周边设备的正常使用造成影响。</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continue"/>
                  <w:shd w:val="clear" w:color="auto" w:fill="auto"/>
                  <w:vAlign w:val="center"/>
                </w:tcPr>
                <w:p>
                  <w:pPr>
                    <w:rPr>
                      <w:rFonts w:hint="eastAsia" w:ascii="宋体"/>
                      <w:sz w:val="18"/>
                      <w:szCs w:val="18"/>
                    </w:rPr>
                  </w:pP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噪声污染</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由于各种原因导致的噪声超出国家标准。</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对操作者听力造成损伤。</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continue"/>
                  <w:shd w:val="clear" w:color="auto" w:fill="auto"/>
                  <w:vAlign w:val="center"/>
                </w:tcPr>
                <w:p>
                  <w:pPr>
                    <w:rPr>
                      <w:rFonts w:hint="eastAsia" w:ascii="宋体"/>
                      <w:sz w:val="18"/>
                      <w:szCs w:val="18"/>
                    </w:rPr>
                  </w:pP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由于废物和/或医疗器械处置造成的污染。</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废弃物处理不当。</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污染环境，产生生物学危害。</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生物学危害</w:t>
                  </w:r>
                  <w:r>
                    <w:rPr>
                      <w:rFonts w:hint="eastAsia" w:ascii="宋体" w:hAnsi="宋体" w:eastAsia="宋体" w:cs="宋体"/>
                      <w:kern w:val="0"/>
                      <w:sz w:val="18"/>
                      <w:szCs w:val="18"/>
                      <w:lang w:val="en-US" w:eastAsia="zh-CN" w:bidi="ar"/>
                    </w:rPr>
                    <w:t xml:space="preserve"> </w:t>
                  </w: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生物污染</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标本遗洒、人工冲洗、样品针刺伤。</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造成使用者感染。</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restart"/>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与医疗器械使用有关的危害</w:t>
                  </w:r>
                  <w:r>
                    <w:rPr>
                      <w:rFonts w:hint="eastAsia" w:ascii="宋体" w:hAnsi="宋体" w:eastAsia="宋体" w:cs="宋体"/>
                      <w:kern w:val="0"/>
                      <w:sz w:val="18"/>
                      <w:szCs w:val="18"/>
                      <w:lang w:val="en-US" w:eastAsia="zh-CN" w:bidi="ar"/>
                    </w:rPr>
                    <w:t xml:space="preserve"> </w:t>
                  </w: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不适当的标记。</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标记不明显。</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按键被使用者误读误按。</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continue"/>
                  <w:shd w:val="clear" w:color="auto" w:fill="auto"/>
                  <w:vAlign w:val="center"/>
                </w:tcPr>
                <w:p>
                  <w:pPr>
                    <w:rPr>
                      <w:rFonts w:hint="eastAsia" w:ascii="宋体"/>
                      <w:sz w:val="18"/>
                      <w:szCs w:val="18"/>
                    </w:rPr>
                  </w:pP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不适当的操作说明。</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操作说明书过于复杂。</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使用者无法按照说明书进行操作。</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continue"/>
                  <w:shd w:val="clear" w:color="auto" w:fill="auto"/>
                  <w:vAlign w:val="center"/>
                </w:tcPr>
                <w:p>
                  <w:pPr>
                    <w:rPr>
                      <w:rFonts w:hint="eastAsia" w:ascii="宋体"/>
                      <w:sz w:val="18"/>
                      <w:szCs w:val="18"/>
                    </w:rPr>
                  </w:pP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由不熟练/未经训练的人员使用。</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未对使用者进行培训或者使用者未阅读说明书。</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仪器无法被正确使用。</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continue"/>
                  <w:shd w:val="clear" w:color="auto" w:fill="auto"/>
                  <w:vAlign w:val="center"/>
                </w:tcPr>
                <w:p>
                  <w:pPr>
                    <w:rPr>
                      <w:rFonts w:hint="eastAsia" w:ascii="宋体"/>
                      <w:sz w:val="18"/>
                      <w:szCs w:val="18"/>
                    </w:rPr>
                  </w:pP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使用不适当的标准物质。</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未使用适当的标准物质。</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如果使用的标准物质不正确或方法不当，会导致测量结果的不准确。</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不适当、不合适或过于复杂的使用者接口</w:t>
                  </w:r>
                  <w:r>
                    <w:rPr>
                      <w:rFonts w:hint="eastAsia" w:ascii="宋体" w:hAnsi="宋体" w:eastAsia="宋体" w:cs="宋体"/>
                      <w:kern w:val="0"/>
                      <w:sz w:val="18"/>
                      <w:szCs w:val="18"/>
                      <w:lang w:val="en-US" w:eastAsia="zh-CN" w:bidi="ar"/>
                    </w:rPr>
                    <w:t xml:space="preserve"> </w:t>
                  </w: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视觉、听觉或触觉的不充分。</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显示、声音提示不清。</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按键被使用者误读误按。</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restart"/>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功能性失效、维修和老化引起的危害</w:t>
                  </w:r>
                  <w:r>
                    <w:rPr>
                      <w:rFonts w:hint="eastAsia" w:ascii="宋体" w:hAnsi="宋体" w:eastAsia="宋体" w:cs="宋体"/>
                      <w:kern w:val="0"/>
                      <w:sz w:val="18"/>
                      <w:szCs w:val="18"/>
                      <w:lang w:val="en-US" w:eastAsia="zh-CN" w:bidi="ar"/>
                    </w:rPr>
                    <w:t xml:space="preserve"> </w:t>
                  </w: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维修规范缺少或不适当，包括维修后检查规范不适当。</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未按照规范进行服务和维修。</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仪器未达到修复使用要求。</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continue"/>
                  <w:shd w:val="clear" w:color="auto" w:fill="auto"/>
                  <w:vAlign w:val="center"/>
                </w:tcPr>
                <w:p>
                  <w:pPr>
                    <w:rPr>
                      <w:rFonts w:hint="eastAsia" w:ascii="宋体"/>
                      <w:sz w:val="18"/>
                      <w:szCs w:val="18"/>
                    </w:rPr>
                  </w:pP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维护的不适当。</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未按要求进行维护。</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仪器无法被正确维护。</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947" w:type="dxa"/>
                  <w:vMerge w:val="continue"/>
                  <w:shd w:val="clear" w:color="auto" w:fill="auto"/>
                  <w:vAlign w:val="center"/>
                </w:tcPr>
                <w:p>
                  <w:pPr>
                    <w:rPr>
                      <w:rFonts w:hint="eastAsia" w:ascii="宋体"/>
                      <w:sz w:val="18"/>
                      <w:szCs w:val="18"/>
                    </w:rPr>
                  </w:pPr>
                </w:p>
              </w:tc>
              <w:tc>
                <w:tcPr>
                  <w:tcW w:w="250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不适当的包装。</w:t>
                  </w:r>
                  <w:r>
                    <w:rPr>
                      <w:rFonts w:hint="eastAsia" w:ascii="宋体" w:hAnsi="宋体" w:eastAsia="宋体" w:cs="宋体"/>
                      <w:kern w:val="0"/>
                      <w:sz w:val="18"/>
                      <w:szCs w:val="18"/>
                      <w:lang w:val="en-US" w:eastAsia="zh-CN" w:bidi="ar"/>
                    </w:rPr>
                    <w:t xml:space="preserve"> </w:t>
                  </w:r>
                </w:p>
              </w:tc>
              <w:tc>
                <w:tcPr>
                  <w:tcW w:w="2377"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未保存原包装。</w:t>
                  </w:r>
                  <w:r>
                    <w:rPr>
                      <w:rFonts w:hint="eastAsia" w:ascii="宋体" w:hAnsi="宋体" w:eastAsia="宋体" w:cs="宋体"/>
                      <w:kern w:val="0"/>
                      <w:sz w:val="18"/>
                      <w:szCs w:val="18"/>
                      <w:lang w:val="en-US" w:eastAsia="zh-CN" w:bidi="ar"/>
                    </w:rPr>
                    <w:t xml:space="preserve"> </w:t>
                  </w:r>
                </w:p>
              </w:tc>
              <w:tc>
                <w:tcPr>
                  <w:tcW w:w="3484"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仪器送修运输中受损。</w:t>
                  </w:r>
                  <w:r>
                    <w:rPr>
                      <w:rFonts w:hint="eastAsia" w:ascii="宋体" w:hAnsi="宋体" w:eastAsia="宋体" w:cs="宋体"/>
                      <w:kern w:val="0"/>
                      <w:sz w:val="18"/>
                      <w:szCs w:val="18"/>
                      <w:lang w:val="en-US" w:eastAsia="zh-CN" w:bidi="ar"/>
                    </w:rPr>
                    <w:t xml:space="preserve"> </w:t>
                  </w:r>
                </w:p>
              </w:tc>
            </w:tr>
          </w:tbl>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（八）产品技术要求应包括的主要性能指标</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1.切变率显示范围：1s</w:t>
            </w:r>
            <w:r>
              <w:rPr>
                <w:rFonts w:hint="eastAsia" w:ascii="微软雅黑" w:hAnsi="微软雅黑" w:eastAsia="微软雅黑" w:cs="微软雅黑"/>
                <w:kern w:val="0"/>
                <w:sz w:val="21"/>
                <w:szCs w:val="21"/>
                <w:vertAlign w:val="superscript"/>
                <w:lang w:val="en-US" w:eastAsia="zh-CN" w:bidi="ar"/>
              </w:rPr>
              <w:t>-1</w:t>
            </w:r>
            <w:r>
              <w:rPr>
                <w:rFonts w:hint="eastAsia" w:ascii="微软雅黑" w:hAnsi="微软雅黑" w:eastAsia="微软雅黑" w:cs="微软雅黑"/>
                <w:kern w:val="0"/>
                <w:sz w:val="21"/>
                <w:szCs w:val="21"/>
                <w:lang w:val="en-US" w:eastAsia="zh-CN" w:bidi="ar"/>
              </w:rPr>
              <w:t>～200s</w:t>
            </w:r>
            <w:r>
              <w:rPr>
                <w:rFonts w:hint="eastAsia" w:ascii="微软雅黑" w:hAnsi="微软雅黑" w:eastAsia="微软雅黑" w:cs="微软雅黑"/>
                <w:kern w:val="0"/>
                <w:sz w:val="21"/>
                <w:szCs w:val="21"/>
                <w:vertAlign w:val="superscript"/>
                <w:lang w:val="en-US" w:eastAsia="zh-CN" w:bidi="ar"/>
              </w:rPr>
              <w:t>-1</w:t>
            </w:r>
            <w:r>
              <w:rPr>
                <w:rFonts w:hint="eastAsia" w:ascii="微软雅黑" w:hAnsi="微软雅黑" w:eastAsia="微软雅黑" w:cs="微软雅黑"/>
                <w:kern w:val="0"/>
                <w:sz w:val="21"/>
                <w:szCs w:val="21"/>
                <w:lang w:val="en-US" w:eastAsia="zh-CN" w:bidi="ar"/>
              </w:rPr>
              <w:t>。</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2.准确度：应满足表2的要求。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924"/>
              <w:jc w:val="center"/>
              <w:rPr>
                <w:sz w:val="18"/>
                <w:szCs w:val="18"/>
              </w:rPr>
            </w:pPr>
            <w:r>
              <w:rPr>
                <w:rFonts w:hint="eastAsia" w:ascii="微软雅黑" w:hAnsi="微软雅黑" w:eastAsia="微软雅黑" w:cs="微软雅黑"/>
                <w:kern w:val="0"/>
                <w:sz w:val="21"/>
                <w:szCs w:val="21"/>
                <w:lang w:val="en-US" w:eastAsia="zh-CN" w:bidi="ar"/>
              </w:rPr>
              <w:t>表2 不同切变率黏度测定准确度要求</w:t>
            </w:r>
            <w:r>
              <w:rPr>
                <w:rFonts w:hint="eastAsia" w:ascii="宋体" w:hAnsi="宋体" w:eastAsia="宋体" w:cs="宋体"/>
                <w:kern w:val="0"/>
                <w:sz w:val="18"/>
                <w:szCs w:val="18"/>
                <w:lang w:val="en-US" w:eastAsia="zh-CN" w:bidi="ar"/>
              </w:rPr>
              <w:t xml:space="preserve"> </w:t>
            </w:r>
          </w:p>
          <w:tbl>
            <w:tblPr>
              <w:tblStyle w:val="7"/>
              <w:tblW w:w="9450"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3"/>
              <w:gridCol w:w="1509"/>
              <w:gridCol w:w="1509"/>
              <w:gridCol w:w="1509"/>
              <w:gridCol w:w="1639"/>
              <w:gridCol w:w="1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518" w:type="dxa"/>
                  <w:vMerge w:val="restart"/>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切变率(s</w:t>
                  </w:r>
                  <w:r>
                    <w:rPr>
                      <w:rFonts w:hint="eastAsia" w:ascii="微软雅黑" w:hAnsi="微软雅黑" w:eastAsia="微软雅黑" w:cs="微软雅黑"/>
                      <w:kern w:val="0"/>
                      <w:sz w:val="21"/>
                      <w:szCs w:val="21"/>
                      <w:vertAlign w:val="superscript"/>
                      <w:lang w:val="en-US" w:eastAsia="zh-CN" w:bidi="ar"/>
                    </w:rPr>
                    <w:t>-1</w:t>
                  </w: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7842" w:type="dxa"/>
                  <w:gridSpan w:val="5"/>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牛顿标准物质黏度(mPa·s)及相对偏差要求</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18" w:type="dxa"/>
                  <w:vMerge w:val="continue"/>
                  <w:shd w:val="clear" w:color="auto" w:fill="auto"/>
                  <w:vAlign w:val="center"/>
                </w:tcPr>
                <w:p>
                  <w:pPr>
                    <w:rPr>
                      <w:rFonts w:hint="eastAsia" w:ascii="宋体"/>
                      <w:sz w:val="18"/>
                      <w:szCs w:val="18"/>
                    </w:rPr>
                  </w:pP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1±0.5</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5±1</w:t>
                  </w:r>
                  <w:r>
                    <w:rPr>
                      <w:rFonts w:hint="eastAsia" w:ascii="宋体" w:hAnsi="宋体" w:eastAsia="宋体" w:cs="宋体"/>
                      <w:kern w:val="0"/>
                      <w:sz w:val="18"/>
                      <w:szCs w:val="18"/>
                      <w:lang w:val="en-US" w:eastAsia="zh-CN" w:bidi="ar"/>
                    </w:rPr>
                    <w:t xml:space="preserve"> </w:t>
                  </w:r>
                </w:p>
              </w:tc>
              <w:tc>
                <w:tcPr>
                  <w:tcW w:w="3118"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10±2</w:t>
                  </w:r>
                  <w:r>
                    <w:rPr>
                      <w:rFonts w:hint="eastAsia" w:ascii="宋体" w:hAnsi="宋体" w:eastAsia="宋体" w:cs="宋体"/>
                      <w:kern w:val="0"/>
                      <w:sz w:val="18"/>
                      <w:szCs w:val="18"/>
                      <w:lang w:val="en-US" w:eastAsia="zh-CN" w:bidi="ar"/>
                    </w:rPr>
                    <w:t xml:space="preserve"> </w:t>
                  </w:r>
                </w:p>
              </w:tc>
              <w:tc>
                <w:tcPr>
                  <w:tcW w:w="167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20±4</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1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1</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3118"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167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1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10</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3118"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167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1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50</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231"/>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3118"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167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1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100</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231"/>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3118"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167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1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200</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≤3%</w:t>
                  </w:r>
                  <w:r>
                    <w:rPr>
                      <w:rFonts w:hint="eastAsia" w:ascii="宋体" w:hAnsi="宋体" w:eastAsia="宋体" w:cs="宋体"/>
                      <w:kern w:val="0"/>
                      <w:sz w:val="18"/>
                      <w:szCs w:val="18"/>
                      <w:lang w:val="en-US" w:eastAsia="zh-CN" w:bidi="ar"/>
                    </w:rPr>
                    <w:t xml:space="preserve"> </w:t>
                  </w:r>
                </w:p>
              </w:tc>
              <w:tc>
                <w:tcPr>
                  <w:tcW w:w="1479"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231"/>
                    <w:jc w:val="center"/>
                    <w:rPr>
                      <w:sz w:val="18"/>
                      <w:szCs w:val="18"/>
                    </w:rPr>
                  </w:pPr>
                  <w:r>
                    <w:rPr>
                      <w:rFonts w:hint="eastAsia" w:ascii="微软雅黑" w:hAnsi="微软雅黑" w:eastAsia="微软雅黑" w:cs="微软雅黑"/>
                      <w:kern w:val="0"/>
                      <w:sz w:val="21"/>
                      <w:szCs w:val="21"/>
                      <w:lang w:val="en-US" w:eastAsia="zh-CN" w:bidi="ar"/>
                    </w:rPr>
                    <w:t>≤3%</w:t>
                  </w:r>
                  <w:r>
                    <w:rPr>
                      <w:rFonts w:hint="eastAsia" w:ascii="宋体" w:hAnsi="宋体" w:eastAsia="宋体" w:cs="宋体"/>
                      <w:kern w:val="0"/>
                      <w:sz w:val="18"/>
                      <w:szCs w:val="18"/>
                      <w:lang w:val="en-US" w:eastAsia="zh-CN" w:bidi="ar"/>
                    </w:rPr>
                    <w:t xml:space="preserve"> </w:t>
                  </w:r>
                </w:p>
              </w:tc>
              <w:tc>
                <w:tcPr>
                  <w:tcW w:w="3118"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167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1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切变率(s</w:t>
                  </w:r>
                  <w:r>
                    <w:rPr>
                      <w:rFonts w:hint="eastAsia" w:ascii="微软雅黑" w:hAnsi="微软雅黑" w:eastAsia="微软雅黑" w:cs="微软雅黑"/>
                      <w:kern w:val="0"/>
                      <w:sz w:val="21"/>
                      <w:szCs w:val="21"/>
                      <w:vertAlign w:val="superscript"/>
                      <w:lang w:val="en-US" w:eastAsia="zh-CN" w:bidi="ar"/>
                    </w:rPr>
                    <w:t>-1</w:t>
                  </w: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7842" w:type="dxa"/>
                  <w:gridSpan w:val="5"/>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非牛顿标准物质黏度(mPa·s)及相对偏差要求</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1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1</w:t>
                  </w:r>
                  <w:r>
                    <w:rPr>
                      <w:rFonts w:hint="eastAsia" w:ascii="宋体" w:hAnsi="宋体" w:eastAsia="宋体" w:cs="宋体"/>
                      <w:kern w:val="0"/>
                      <w:sz w:val="18"/>
                      <w:szCs w:val="18"/>
                      <w:lang w:val="en-US" w:eastAsia="zh-CN" w:bidi="ar"/>
                    </w:rPr>
                    <w:t xml:space="preserve"> </w:t>
                  </w:r>
                </w:p>
              </w:tc>
              <w:tc>
                <w:tcPr>
                  <w:tcW w:w="4497" w:type="dxa"/>
                  <w:gridSpan w:val="3"/>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10～30</w:t>
                  </w:r>
                  <w:r>
                    <w:rPr>
                      <w:rFonts w:hint="eastAsia" w:ascii="宋体" w:hAnsi="宋体" w:eastAsia="宋体" w:cs="宋体"/>
                      <w:kern w:val="0"/>
                      <w:sz w:val="18"/>
                      <w:szCs w:val="18"/>
                      <w:lang w:val="en-US" w:eastAsia="zh-CN" w:bidi="ar"/>
                    </w:rPr>
                    <w:t xml:space="preserve"> </w:t>
                  </w:r>
                </w:p>
              </w:tc>
              <w:tc>
                <w:tcPr>
                  <w:tcW w:w="3315"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相对偏差≤5%</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1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50</w:t>
                  </w:r>
                  <w:r>
                    <w:rPr>
                      <w:rFonts w:hint="eastAsia" w:ascii="宋体" w:hAnsi="宋体" w:eastAsia="宋体" w:cs="宋体"/>
                      <w:kern w:val="0"/>
                      <w:sz w:val="18"/>
                      <w:szCs w:val="18"/>
                      <w:lang w:val="en-US" w:eastAsia="zh-CN" w:bidi="ar"/>
                    </w:rPr>
                    <w:t xml:space="preserve"> </w:t>
                  </w:r>
                </w:p>
              </w:tc>
              <w:tc>
                <w:tcPr>
                  <w:tcW w:w="4497" w:type="dxa"/>
                  <w:gridSpan w:val="3"/>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2～7</w:t>
                  </w:r>
                  <w:r>
                    <w:rPr>
                      <w:rFonts w:hint="eastAsia" w:ascii="宋体" w:hAnsi="宋体" w:eastAsia="宋体" w:cs="宋体"/>
                      <w:kern w:val="0"/>
                      <w:sz w:val="18"/>
                      <w:szCs w:val="18"/>
                      <w:lang w:val="en-US" w:eastAsia="zh-CN" w:bidi="ar"/>
                    </w:rPr>
                    <w:t xml:space="preserve"> </w:t>
                  </w:r>
                </w:p>
              </w:tc>
              <w:tc>
                <w:tcPr>
                  <w:tcW w:w="3315"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相对偏差≤5%</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51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200</w:t>
                  </w:r>
                  <w:r>
                    <w:rPr>
                      <w:rFonts w:hint="eastAsia" w:ascii="宋体" w:hAnsi="宋体" w:eastAsia="宋体" w:cs="宋体"/>
                      <w:kern w:val="0"/>
                      <w:sz w:val="18"/>
                      <w:szCs w:val="18"/>
                      <w:lang w:val="en-US" w:eastAsia="zh-CN" w:bidi="ar"/>
                    </w:rPr>
                    <w:t xml:space="preserve"> </w:t>
                  </w:r>
                </w:p>
              </w:tc>
              <w:tc>
                <w:tcPr>
                  <w:tcW w:w="4497" w:type="dxa"/>
                  <w:gridSpan w:val="3"/>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1～5</w:t>
                  </w:r>
                  <w:r>
                    <w:rPr>
                      <w:rFonts w:hint="eastAsia" w:ascii="宋体" w:hAnsi="宋体" w:eastAsia="宋体" w:cs="宋体"/>
                      <w:kern w:val="0"/>
                      <w:sz w:val="18"/>
                      <w:szCs w:val="18"/>
                      <w:lang w:val="en-US" w:eastAsia="zh-CN" w:bidi="ar"/>
                    </w:rPr>
                    <w:t xml:space="preserve"> </w:t>
                  </w:r>
                </w:p>
              </w:tc>
              <w:tc>
                <w:tcPr>
                  <w:tcW w:w="3315"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相对偏差≤3%</w:t>
                  </w:r>
                  <w:r>
                    <w:rPr>
                      <w:rFonts w:hint="eastAsia" w:ascii="宋体" w:hAnsi="宋体" w:eastAsia="宋体" w:cs="宋体"/>
                      <w:kern w:val="0"/>
                      <w:sz w:val="18"/>
                      <w:szCs w:val="18"/>
                      <w:lang w:val="en-US" w:eastAsia="zh-CN" w:bidi="ar"/>
                    </w:rPr>
                    <w:t xml:space="preserve"> </w:t>
                  </w:r>
                </w:p>
              </w:tc>
            </w:tr>
          </w:tbl>
          <w:p>
            <w:pPr>
              <w:pStyle w:val="3"/>
              <w:keepNext w:val="0"/>
              <w:keepLines w:val="0"/>
              <w:widowControl/>
              <w:suppressLineNumbers w:val="0"/>
              <w:spacing w:before="300" w:beforeAutospacing="0" w:after="0" w:afterAutospacing="1" w:line="390" w:lineRule="atLeast"/>
              <w:ind w:left="0" w:right="0" w:firstLine="480"/>
              <w:jc w:val="left"/>
              <w:rPr>
                <w:sz w:val="18"/>
                <w:szCs w:val="18"/>
              </w:rPr>
            </w:pPr>
            <w:r>
              <w:rPr>
                <w:rFonts w:hint="eastAsia" w:ascii="微软雅黑" w:hAnsi="微软雅黑" w:eastAsia="微软雅黑" w:cs="微软雅黑"/>
                <w:kern w:val="0"/>
                <w:sz w:val="21"/>
                <w:szCs w:val="21"/>
                <w:lang w:val="en-US" w:eastAsia="zh-CN" w:bidi="ar"/>
              </w:rPr>
              <w:t>注：具体测试时应选用适当的有证标准黏度液，包括牛顿流体标准黏度液（标准油）、非牛顿流体标准黏度液（非牛顿液体标准物质）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3.重复性：应满足表3的要求。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60"/>
              <w:jc w:val="center"/>
              <w:rPr>
                <w:sz w:val="18"/>
                <w:szCs w:val="18"/>
              </w:rPr>
            </w:pPr>
            <w:r>
              <w:rPr>
                <w:rFonts w:hint="eastAsia" w:ascii="微软雅黑" w:hAnsi="微软雅黑" w:eastAsia="微软雅黑" w:cs="微软雅黑"/>
                <w:kern w:val="0"/>
                <w:sz w:val="21"/>
                <w:szCs w:val="21"/>
                <w:lang w:val="en-US" w:eastAsia="zh-CN" w:bidi="ar"/>
              </w:rPr>
              <w:t>表3不同切变率黏度测定重复性要求</w:t>
            </w:r>
            <w:r>
              <w:rPr>
                <w:rFonts w:hint="default" w:ascii="仿宋_GB2312" w:eastAsia="仿宋_GB2312" w:cs="仿宋_GB2312"/>
                <w:kern w:val="0"/>
                <w:sz w:val="18"/>
                <w:szCs w:val="18"/>
                <w:lang w:val="en-US" w:eastAsia="zh-CN" w:bidi="ar"/>
              </w:rPr>
              <w:t xml:space="preserve"> </w:t>
            </w:r>
          </w:p>
          <w:tbl>
            <w:tblPr>
              <w:tblStyle w:val="7"/>
              <w:tblW w:w="953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3"/>
              <w:gridCol w:w="1626"/>
              <w:gridCol w:w="1626"/>
              <w:gridCol w:w="1626"/>
              <w:gridCol w:w="1747"/>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038" w:type="dxa"/>
                  <w:vMerge w:val="restart"/>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切变率(s</w:t>
                  </w:r>
                  <w:r>
                    <w:rPr>
                      <w:rFonts w:hint="eastAsia" w:ascii="微软雅黑" w:hAnsi="微软雅黑" w:eastAsia="微软雅黑" w:cs="微软雅黑"/>
                      <w:kern w:val="0"/>
                      <w:sz w:val="21"/>
                      <w:szCs w:val="21"/>
                      <w:vertAlign w:val="superscript"/>
                      <w:lang w:val="en-US" w:eastAsia="zh-CN" w:bidi="ar"/>
                    </w:rPr>
                    <w:t>-1</w:t>
                  </w: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8405" w:type="dxa"/>
                  <w:gridSpan w:val="5"/>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牛顿标准物质黏度(mPa·s)及重复性要求（CV，%）</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vMerge w:val="continue"/>
                  <w:shd w:val="clear" w:color="auto" w:fill="auto"/>
                  <w:vAlign w:val="center"/>
                </w:tcPr>
                <w:p>
                  <w:pPr>
                    <w:rPr>
                      <w:rFonts w:hint="eastAsia" w:ascii="宋体"/>
                      <w:sz w:val="18"/>
                      <w:szCs w:val="18"/>
                    </w:rPr>
                  </w:pP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both"/>
                    <w:rPr>
                      <w:sz w:val="18"/>
                      <w:szCs w:val="18"/>
                    </w:rPr>
                  </w:pPr>
                  <w:r>
                    <w:rPr>
                      <w:rFonts w:hint="eastAsia" w:ascii="微软雅黑" w:hAnsi="微软雅黑" w:eastAsia="微软雅黑" w:cs="微软雅黑"/>
                      <w:kern w:val="0"/>
                      <w:sz w:val="21"/>
                      <w:szCs w:val="21"/>
                      <w:lang w:val="en-US" w:eastAsia="zh-CN" w:bidi="ar"/>
                    </w:rPr>
                    <w:t>1±0.5</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5±1</w:t>
                  </w:r>
                  <w:r>
                    <w:rPr>
                      <w:rFonts w:hint="eastAsia" w:ascii="宋体" w:hAnsi="宋体" w:eastAsia="宋体" w:cs="宋体"/>
                      <w:kern w:val="0"/>
                      <w:sz w:val="18"/>
                      <w:szCs w:val="18"/>
                      <w:lang w:val="en-US" w:eastAsia="zh-CN" w:bidi="ar"/>
                    </w:rPr>
                    <w:t xml:space="preserve"> </w:t>
                  </w:r>
                </w:p>
              </w:tc>
              <w:tc>
                <w:tcPr>
                  <w:tcW w:w="3343"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231"/>
                    <w:jc w:val="center"/>
                    <w:rPr>
                      <w:sz w:val="18"/>
                      <w:szCs w:val="18"/>
                    </w:rPr>
                  </w:pPr>
                  <w:r>
                    <w:rPr>
                      <w:rFonts w:hint="eastAsia" w:ascii="微软雅黑" w:hAnsi="微软雅黑" w:eastAsia="微软雅黑" w:cs="微软雅黑"/>
                      <w:kern w:val="0"/>
                      <w:sz w:val="21"/>
                      <w:szCs w:val="21"/>
                      <w:lang w:val="en-US" w:eastAsia="zh-CN" w:bidi="ar"/>
                    </w:rPr>
                    <w:t>10±2</w:t>
                  </w:r>
                  <w:r>
                    <w:rPr>
                      <w:rFonts w:hint="eastAsia" w:ascii="宋体" w:hAnsi="宋体" w:eastAsia="宋体" w:cs="宋体"/>
                      <w:kern w:val="0"/>
                      <w:sz w:val="18"/>
                      <w:szCs w:val="18"/>
                      <w:lang w:val="en-US" w:eastAsia="zh-CN" w:bidi="ar"/>
                    </w:rPr>
                    <w:t xml:space="preserve"> </w:t>
                  </w:r>
                </w:p>
              </w:tc>
              <w:tc>
                <w:tcPr>
                  <w:tcW w:w="1780"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231"/>
                    <w:jc w:val="center"/>
                    <w:rPr>
                      <w:sz w:val="18"/>
                      <w:szCs w:val="18"/>
                    </w:rPr>
                  </w:pPr>
                  <w:r>
                    <w:rPr>
                      <w:rFonts w:hint="eastAsia" w:ascii="微软雅黑" w:hAnsi="微软雅黑" w:eastAsia="微软雅黑" w:cs="微软雅黑"/>
                      <w:kern w:val="0"/>
                      <w:sz w:val="21"/>
                      <w:szCs w:val="21"/>
                      <w:lang w:val="en-US" w:eastAsia="zh-CN" w:bidi="ar"/>
                    </w:rPr>
                    <w:t>20±4</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1</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3343"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1780"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10</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3343"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1780"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50</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3343"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1780"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100</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c>
                <w:tcPr>
                  <w:tcW w:w="3343"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1780"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200</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≤3%</w:t>
                  </w:r>
                  <w:r>
                    <w:rPr>
                      <w:rFonts w:hint="eastAsia" w:ascii="宋体" w:hAnsi="宋体" w:eastAsia="宋体" w:cs="宋体"/>
                      <w:kern w:val="0"/>
                      <w:sz w:val="18"/>
                      <w:szCs w:val="18"/>
                      <w:lang w:val="en-US" w:eastAsia="zh-CN" w:bidi="ar"/>
                    </w:rPr>
                    <w:t xml:space="preserve"> </w:t>
                  </w:r>
                </w:p>
              </w:tc>
              <w:tc>
                <w:tcPr>
                  <w:tcW w:w="1596"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≤3%</w:t>
                  </w:r>
                  <w:r>
                    <w:rPr>
                      <w:rFonts w:hint="eastAsia" w:ascii="宋体" w:hAnsi="宋体" w:eastAsia="宋体" w:cs="宋体"/>
                      <w:kern w:val="0"/>
                      <w:sz w:val="18"/>
                      <w:szCs w:val="18"/>
                      <w:lang w:val="en-US" w:eastAsia="zh-CN" w:bidi="ar"/>
                    </w:rPr>
                    <w:t xml:space="preserve"> </w:t>
                  </w:r>
                </w:p>
              </w:tc>
              <w:tc>
                <w:tcPr>
                  <w:tcW w:w="3343"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1780"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346"/>
                    <w:jc w:val="center"/>
                    <w:rPr>
                      <w:sz w:val="18"/>
                      <w:szCs w:val="18"/>
                    </w:rPr>
                  </w:pP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切变率(s</w:t>
                  </w:r>
                  <w:r>
                    <w:rPr>
                      <w:rFonts w:hint="eastAsia" w:ascii="微软雅黑" w:hAnsi="微软雅黑" w:eastAsia="微软雅黑" w:cs="微软雅黑"/>
                      <w:kern w:val="0"/>
                      <w:sz w:val="21"/>
                      <w:szCs w:val="21"/>
                      <w:vertAlign w:val="superscript"/>
                      <w:lang w:val="en-US" w:eastAsia="zh-CN" w:bidi="ar"/>
                    </w:rPr>
                    <w:t>-1</w:t>
                  </w: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8405" w:type="dxa"/>
                  <w:gridSpan w:val="5"/>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非牛顿标准物质黏度(mPa·s)及重复性要求（CV，%）</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1</w:t>
                  </w:r>
                  <w:r>
                    <w:rPr>
                      <w:rFonts w:hint="eastAsia" w:ascii="宋体" w:hAnsi="宋体" w:eastAsia="宋体" w:cs="宋体"/>
                      <w:kern w:val="0"/>
                      <w:sz w:val="18"/>
                      <w:szCs w:val="18"/>
                      <w:lang w:val="en-US" w:eastAsia="zh-CN" w:bidi="ar"/>
                    </w:rPr>
                    <w:t xml:space="preserve"> </w:t>
                  </w:r>
                </w:p>
              </w:tc>
              <w:tc>
                <w:tcPr>
                  <w:tcW w:w="4848" w:type="dxa"/>
                  <w:gridSpan w:val="3"/>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10～30</w:t>
                  </w:r>
                  <w:r>
                    <w:rPr>
                      <w:rFonts w:hint="eastAsia" w:ascii="宋体" w:hAnsi="宋体" w:eastAsia="宋体" w:cs="宋体"/>
                      <w:kern w:val="0"/>
                      <w:sz w:val="18"/>
                      <w:szCs w:val="18"/>
                      <w:lang w:val="en-US" w:eastAsia="zh-CN" w:bidi="ar"/>
                    </w:rPr>
                    <w:t xml:space="preserve"> </w:t>
                  </w:r>
                </w:p>
              </w:tc>
              <w:tc>
                <w:tcPr>
                  <w:tcW w:w="3527"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CV（%）≤5%</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50</w:t>
                  </w:r>
                  <w:r>
                    <w:rPr>
                      <w:rFonts w:hint="eastAsia" w:ascii="宋体" w:hAnsi="宋体" w:eastAsia="宋体" w:cs="宋体"/>
                      <w:kern w:val="0"/>
                      <w:sz w:val="18"/>
                      <w:szCs w:val="18"/>
                      <w:lang w:val="en-US" w:eastAsia="zh-CN" w:bidi="ar"/>
                    </w:rPr>
                    <w:t xml:space="preserve"> </w:t>
                  </w:r>
                </w:p>
              </w:tc>
              <w:tc>
                <w:tcPr>
                  <w:tcW w:w="4848" w:type="dxa"/>
                  <w:gridSpan w:val="3"/>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2～7</w:t>
                  </w:r>
                  <w:r>
                    <w:rPr>
                      <w:rFonts w:hint="eastAsia" w:ascii="宋体" w:hAnsi="宋体" w:eastAsia="宋体" w:cs="宋体"/>
                      <w:kern w:val="0"/>
                      <w:sz w:val="18"/>
                      <w:szCs w:val="18"/>
                      <w:lang w:val="en-US" w:eastAsia="zh-CN" w:bidi="ar"/>
                    </w:rPr>
                    <w:t xml:space="preserve"> </w:t>
                  </w:r>
                </w:p>
              </w:tc>
              <w:tc>
                <w:tcPr>
                  <w:tcW w:w="3527"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CV（%）≤3%</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200</w:t>
                  </w:r>
                  <w:r>
                    <w:rPr>
                      <w:rFonts w:hint="eastAsia" w:ascii="宋体" w:hAnsi="宋体" w:eastAsia="宋体" w:cs="宋体"/>
                      <w:kern w:val="0"/>
                      <w:sz w:val="18"/>
                      <w:szCs w:val="18"/>
                      <w:lang w:val="en-US" w:eastAsia="zh-CN" w:bidi="ar"/>
                    </w:rPr>
                    <w:t xml:space="preserve"> </w:t>
                  </w:r>
                </w:p>
              </w:tc>
              <w:tc>
                <w:tcPr>
                  <w:tcW w:w="4848" w:type="dxa"/>
                  <w:gridSpan w:val="3"/>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1～5</w:t>
                  </w:r>
                  <w:r>
                    <w:rPr>
                      <w:rFonts w:hint="eastAsia" w:ascii="宋体" w:hAnsi="宋体" w:eastAsia="宋体" w:cs="宋体"/>
                      <w:kern w:val="0"/>
                      <w:sz w:val="18"/>
                      <w:szCs w:val="18"/>
                      <w:lang w:val="en-US" w:eastAsia="zh-CN" w:bidi="ar"/>
                    </w:rPr>
                    <w:t xml:space="preserve"> </w:t>
                  </w:r>
                </w:p>
              </w:tc>
              <w:tc>
                <w:tcPr>
                  <w:tcW w:w="3527" w:type="dxa"/>
                  <w:gridSpan w:val="2"/>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center"/>
                    <w:rPr>
                      <w:sz w:val="18"/>
                      <w:szCs w:val="18"/>
                    </w:rPr>
                  </w:pPr>
                  <w:r>
                    <w:rPr>
                      <w:rFonts w:hint="eastAsia" w:ascii="微软雅黑" w:hAnsi="微软雅黑" w:eastAsia="微软雅黑" w:cs="微软雅黑"/>
                      <w:kern w:val="0"/>
                      <w:sz w:val="21"/>
                      <w:szCs w:val="21"/>
                      <w:lang w:val="en-US" w:eastAsia="zh-CN" w:bidi="ar"/>
                    </w:rPr>
                    <w:t>CV（%）≤3%</w:t>
                  </w:r>
                  <w:r>
                    <w:rPr>
                      <w:rFonts w:hint="eastAsia" w:ascii="宋体" w:hAnsi="宋体" w:eastAsia="宋体" w:cs="宋体"/>
                      <w:kern w:val="0"/>
                      <w:sz w:val="18"/>
                      <w:szCs w:val="18"/>
                      <w:lang w:val="en-US" w:eastAsia="zh-CN" w:bidi="ar"/>
                    </w:rPr>
                    <w:t xml:space="preserve"> </w:t>
                  </w:r>
                </w:p>
              </w:tc>
            </w:tr>
          </w:tbl>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注：样本应首选临床样本。</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4.连续工作时间：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将流变仪/黏度计连续保持开机或待测状态8小时，8小时后检测结果应符合表4的要求。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192"/>
              <w:jc w:val="center"/>
              <w:rPr>
                <w:sz w:val="18"/>
                <w:szCs w:val="18"/>
              </w:rPr>
            </w:pPr>
            <w:r>
              <w:rPr>
                <w:rFonts w:hint="eastAsia" w:ascii="微软雅黑" w:hAnsi="微软雅黑" w:eastAsia="微软雅黑" w:cs="微软雅黑"/>
                <w:kern w:val="0"/>
                <w:sz w:val="21"/>
                <w:szCs w:val="21"/>
                <w:lang w:val="en-US" w:eastAsia="zh-CN" w:bidi="ar"/>
              </w:rPr>
              <w:t>表4连续工作时间要求</w:t>
            </w:r>
            <w:r>
              <w:rPr>
                <w:rFonts w:hint="eastAsia" w:ascii="宋体" w:hAnsi="宋体" w:eastAsia="宋体" w:cs="宋体"/>
                <w:kern w:val="0"/>
                <w:sz w:val="18"/>
                <w:szCs w:val="18"/>
                <w:lang w:val="en-US" w:eastAsia="zh-CN" w:bidi="ar"/>
              </w:rPr>
              <w:t xml:space="preserve"> </w:t>
            </w:r>
          </w:p>
          <w:tbl>
            <w:tblPr>
              <w:tblStyle w:val="7"/>
              <w:tblW w:w="7441"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3"/>
              <w:gridCol w:w="6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038" w:type="dxa"/>
                  <w:vMerge w:val="restart"/>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切变率(s</w:t>
                  </w:r>
                  <w:r>
                    <w:rPr>
                      <w:rFonts w:hint="eastAsia" w:ascii="微软雅黑" w:hAnsi="微软雅黑" w:eastAsia="微软雅黑" w:cs="微软雅黑"/>
                      <w:kern w:val="0"/>
                      <w:sz w:val="21"/>
                      <w:szCs w:val="21"/>
                      <w:vertAlign w:val="superscript"/>
                      <w:lang w:val="en-US" w:eastAsia="zh-CN" w:bidi="ar"/>
                    </w:rPr>
                    <w:t>-1</w:t>
                  </w: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6313"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牛顿标准物质黏度(mPa·s)及相对偏差要求</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vMerge w:val="continue"/>
                  <w:shd w:val="clear" w:color="auto" w:fill="auto"/>
                  <w:vAlign w:val="center"/>
                </w:tcPr>
                <w:p>
                  <w:pPr>
                    <w:rPr>
                      <w:rFonts w:hint="eastAsia" w:ascii="宋体"/>
                      <w:sz w:val="18"/>
                      <w:szCs w:val="18"/>
                    </w:rPr>
                  </w:pPr>
                </w:p>
              </w:tc>
              <w:tc>
                <w:tcPr>
                  <w:tcW w:w="6313"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231"/>
                    <w:jc w:val="center"/>
                    <w:rPr>
                      <w:sz w:val="18"/>
                      <w:szCs w:val="18"/>
                    </w:rPr>
                  </w:pPr>
                  <w:r>
                    <w:rPr>
                      <w:rFonts w:hint="eastAsia" w:ascii="微软雅黑" w:hAnsi="微软雅黑" w:eastAsia="微软雅黑" w:cs="微软雅黑"/>
                      <w:kern w:val="0"/>
                      <w:sz w:val="21"/>
                      <w:szCs w:val="21"/>
                      <w:lang w:val="en-US" w:eastAsia="zh-CN" w:bidi="ar"/>
                    </w:rPr>
                    <w:t>5±1</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50</w:t>
                  </w:r>
                  <w:r>
                    <w:rPr>
                      <w:rFonts w:hint="eastAsia" w:ascii="宋体" w:hAnsi="宋体" w:eastAsia="宋体" w:cs="宋体"/>
                      <w:kern w:val="0"/>
                      <w:sz w:val="18"/>
                      <w:szCs w:val="18"/>
                      <w:lang w:val="en-US" w:eastAsia="zh-CN" w:bidi="ar"/>
                    </w:rPr>
                    <w:t xml:space="preserve"> </w:t>
                  </w:r>
                </w:p>
              </w:tc>
              <w:tc>
                <w:tcPr>
                  <w:tcW w:w="6313"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相对偏差（8小时后同一样本相对于初始时的黏度值）不超过±5%</w:t>
                  </w:r>
                  <w:r>
                    <w:rPr>
                      <w:rFonts w:hint="eastAsia" w:ascii="宋体" w:hAnsi="宋体" w:eastAsia="宋体" w:cs="宋体"/>
                      <w:kern w:val="0"/>
                      <w:sz w:val="18"/>
                      <w:szCs w:val="18"/>
                      <w:lang w:val="en-US" w:eastAsia="zh-CN" w:bidi="ar"/>
                    </w:rPr>
                    <w:t xml:space="preserve"> </w:t>
                  </w:r>
                </w:p>
              </w:tc>
            </w:tr>
          </w:tbl>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5.温度准确度、波动性：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（1）样本测量区的温度应在设置值±0.5℃的范围内；</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（2）样本测量区温度的波动不超过±0.5℃。</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6.样本加样量准确度：对流变仪/黏度计标称的加样量进行检测，加样量应不小于仪器标称量（适用于全自动设备）。</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7.样本携带污染率：应符合表5的要求（适用于全自动设备）。</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164"/>
              <w:jc w:val="center"/>
              <w:rPr>
                <w:sz w:val="18"/>
                <w:szCs w:val="18"/>
              </w:rPr>
            </w:pPr>
            <w:r>
              <w:rPr>
                <w:rFonts w:hint="eastAsia" w:ascii="微软雅黑" w:hAnsi="微软雅黑" w:eastAsia="微软雅黑" w:cs="微软雅黑"/>
                <w:kern w:val="0"/>
                <w:sz w:val="21"/>
                <w:szCs w:val="21"/>
                <w:lang w:val="en-US" w:eastAsia="zh-CN" w:bidi="ar"/>
              </w:rPr>
              <w:t>表5 样本携带污染率要求</w:t>
            </w:r>
            <w:r>
              <w:rPr>
                <w:rFonts w:hint="eastAsia" w:ascii="宋体" w:hAnsi="宋体" w:eastAsia="宋体" w:cs="宋体"/>
                <w:kern w:val="0"/>
                <w:sz w:val="18"/>
                <w:szCs w:val="18"/>
                <w:lang w:val="en-US" w:eastAsia="zh-CN" w:bidi="ar"/>
              </w:rPr>
              <w:t xml:space="preserve"> </w:t>
            </w:r>
          </w:p>
          <w:tbl>
            <w:tblPr>
              <w:tblStyle w:val="7"/>
              <w:tblW w:w="4269"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3"/>
              <w:gridCol w:w="3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切变率(s</w:t>
                  </w:r>
                  <w:r>
                    <w:rPr>
                      <w:rFonts w:hint="eastAsia" w:ascii="微软雅黑" w:hAnsi="微软雅黑" w:eastAsia="微软雅黑" w:cs="微软雅黑"/>
                      <w:kern w:val="0"/>
                      <w:sz w:val="21"/>
                      <w:szCs w:val="21"/>
                      <w:vertAlign w:val="superscript"/>
                      <w:lang w:val="en-US" w:eastAsia="zh-CN" w:bidi="ar"/>
                    </w:rPr>
                    <w:t>-1</w:t>
                  </w:r>
                  <w:r>
                    <w:rPr>
                      <w:rFonts w:hint="eastAsia" w:ascii="微软雅黑" w:hAnsi="微软雅黑" w:eastAsia="微软雅黑" w:cs="微软雅黑"/>
                      <w:kern w:val="0"/>
                      <w:sz w:val="21"/>
                      <w:szCs w:val="21"/>
                      <w:lang w:val="en-US" w:eastAsia="zh-CN" w:bidi="ar"/>
                    </w:rPr>
                    <w:t>)</w:t>
                  </w:r>
                  <w:r>
                    <w:rPr>
                      <w:rFonts w:hint="eastAsia" w:ascii="宋体" w:hAnsi="宋体" w:eastAsia="宋体" w:cs="宋体"/>
                      <w:kern w:val="0"/>
                      <w:sz w:val="18"/>
                      <w:szCs w:val="18"/>
                      <w:lang w:val="en-US" w:eastAsia="zh-CN" w:bidi="ar"/>
                    </w:rPr>
                    <w:t xml:space="preserve"> </w:t>
                  </w:r>
                </w:p>
              </w:tc>
              <w:tc>
                <w:tcPr>
                  <w:tcW w:w="314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1039"/>
                    <w:jc w:val="both"/>
                    <w:rPr>
                      <w:sz w:val="18"/>
                      <w:szCs w:val="18"/>
                    </w:rPr>
                  </w:pPr>
                  <w:r>
                    <w:rPr>
                      <w:rFonts w:hint="eastAsia" w:ascii="微软雅黑" w:hAnsi="微软雅黑" w:eastAsia="微软雅黑" w:cs="微软雅黑"/>
                      <w:kern w:val="0"/>
                      <w:sz w:val="21"/>
                      <w:szCs w:val="21"/>
                      <w:lang w:val="en-US" w:eastAsia="zh-CN" w:bidi="ar"/>
                    </w:rPr>
                    <w:t>样本携带污染率要求</w:t>
                  </w:r>
                  <w:r>
                    <w:rPr>
                      <w:rFonts w:hint="eastAsia" w:ascii="宋体" w:hAnsi="宋体" w:eastAsia="宋体" w:cs="宋体"/>
                      <w:kern w:val="0"/>
                      <w:sz w:val="18"/>
                      <w:szCs w:val="1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038"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50</w:t>
                  </w:r>
                  <w:r>
                    <w:rPr>
                      <w:rFonts w:hint="eastAsia" w:ascii="宋体" w:hAnsi="宋体" w:eastAsia="宋体" w:cs="宋体"/>
                      <w:kern w:val="0"/>
                      <w:sz w:val="18"/>
                      <w:szCs w:val="18"/>
                      <w:lang w:val="en-US" w:eastAsia="zh-CN" w:bidi="ar"/>
                    </w:rPr>
                    <w:t xml:space="preserve"> </w:t>
                  </w:r>
                </w:p>
              </w:tc>
              <w:tc>
                <w:tcPr>
                  <w:tcW w:w="3141" w:type="dxa"/>
                  <w:shd w:val="clear" w:color="auto" w:fill="auto"/>
                  <w:vAlign w:val="center"/>
                </w:tcPr>
                <w:p>
                  <w:pPr>
                    <w:pStyle w:val="3"/>
                    <w:keepNext w:val="0"/>
                    <w:keepLines w:val="0"/>
                    <w:widowControl/>
                    <w:suppressLineNumbers w:val="0"/>
                    <w:spacing w:before="0" w:beforeAutospacing="1" w:after="0" w:afterAutospacing="1" w:line="390" w:lineRule="atLeast"/>
                    <w:ind w:left="0" w:right="0" w:firstLine="1848"/>
                    <w:jc w:val="both"/>
                    <w:rPr>
                      <w:sz w:val="18"/>
                      <w:szCs w:val="18"/>
                    </w:rPr>
                  </w:pPr>
                  <w:r>
                    <w:rPr>
                      <w:rFonts w:hint="eastAsia" w:ascii="微软雅黑" w:hAnsi="微软雅黑" w:eastAsia="微软雅黑" w:cs="微软雅黑"/>
                      <w:kern w:val="0"/>
                      <w:sz w:val="21"/>
                      <w:szCs w:val="21"/>
                      <w:lang w:val="en-US" w:eastAsia="zh-CN" w:bidi="ar"/>
                    </w:rPr>
                    <w:t>≤5%</w:t>
                  </w:r>
                  <w:r>
                    <w:rPr>
                      <w:rFonts w:hint="eastAsia" w:ascii="宋体" w:hAnsi="宋体" w:eastAsia="宋体" w:cs="宋体"/>
                      <w:kern w:val="0"/>
                      <w:sz w:val="18"/>
                      <w:szCs w:val="18"/>
                      <w:lang w:val="en-US" w:eastAsia="zh-CN" w:bidi="ar"/>
                    </w:rPr>
                    <w:t xml:space="preserve"> </w:t>
                  </w:r>
                </w:p>
              </w:tc>
            </w:tr>
          </w:tbl>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8.流变仪/黏度计基本功能</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（1）切变率应连续可调；</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 xml:space="preserve">（2）应具有显示测量区域的实时温度功能；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（3）应具有使用标准黏度液进行仪器标定功能；</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（4）检测项目应至少包括黏度、切变率；；</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（5）应具有数据贮存（样本数据、质控数据）和输出功能。</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9.外观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（1）文字和标志应清晰可见；</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（2）表面应平整、光洁、色泽均匀、无磕碰、划伤及凹凸不平等缺陷；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（3）紧固件连接应牢固可靠，不得有松动。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10.电磁兼容性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应符合GB/T 18268.1-2010《测量、控制和实验室用的电设备 电磁兼容性要求 第1部分：通用要求》和GB/T 18268.26-2010《测量、控制和实验室用的电设备 电磁兼容性要求 第26部分：特殊要求 体外诊断(IVD)医疗设备》的要求。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11.安全性能</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应符合GB4793.1-2007《测量、控制和试验室用电气设备的安全要求 第1部分：通用要求》、GB4793.6-2008《测量、控制和实验室用电气设备的安全要求 第6部分：实验室用材料加热设备的特殊要求》、GB 4793.9-2013《测量、控制和实验室用电气设备的安全要求 第9部分：实验室用分析和其他目的自动和半自动设备的特殊要求》的要求以及YY0648-2008《测量、控制和实验室用电气设备的安全要求 第2-101部分：体外诊断（IVD）医用设备的专用要求》的要求。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12.环境试验</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应符合GB/T14710-2009《医用电气设备环境要求及试验方法》的要求。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left"/>
              <w:rPr>
                <w:sz w:val="18"/>
                <w:szCs w:val="18"/>
              </w:rPr>
            </w:pPr>
            <w:r>
              <w:rPr>
                <w:rFonts w:hint="eastAsia" w:ascii="微软雅黑" w:hAnsi="微软雅黑" w:eastAsia="微软雅黑" w:cs="微软雅黑"/>
                <w:kern w:val="0"/>
                <w:sz w:val="21"/>
                <w:szCs w:val="21"/>
                <w:lang w:val="en-US" w:eastAsia="zh-CN" w:bidi="ar"/>
              </w:rPr>
              <w:t>（九）同一注册单元中典型产品的确定原则</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血液流变仪/血液黏度计同一注册单元内所检测的产品应当是能够代表本注册单元内其他产品安全性和有效性的典型产品。</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left"/>
              <w:rPr>
                <w:sz w:val="18"/>
                <w:szCs w:val="18"/>
              </w:rPr>
            </w:pPr>
            <w:r>
              <w:rPr>
                <w:rFonts w:hint="eastAsia" w:ascii="微软雅黑" w:hAnsi="微软雅黑" w:eastAsia="微软雅黑" w:cs="微软雅黑"/>
                <w:kern w:val="0"/>
                <w:sz w:val="21"/>
                <w:szCs w:val="21"/>
                <w:lang w:val="en-US" w:eastAsia="zh-CN" w:bidi="ar"/>
              </w:rPr>
              <w:t>（十）产品的生产制造相关要求</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应当明确产品生产工艺过程，可采用流程图的形式，工艺过程应注明关键工序或特殊过程，并说明其过程控制点及其控制方式。有多个研制、生产场地，应当概述每个研制、生产场地的实际情况。</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left"/>
              <w:rPr>
                <w:sz w:val="18"/>
                <w:szCs w:val="18"/>
              </w:rPr>
            </w:pPr>
            <w:r>
              <w:rPr>
                <w:rFonts w:hint="eastAsia" w:ascii="微软雅黑" w:hAnsi="微软雅黑" w:eastAsia="微软雅黑" w:cs="微软雅黑"/>
                <w:kern w:val="0"/>
                <w:sz w:val="21"/>
                <w:szCs w:val="21"/>
                <w:lang w:val="en-US" w:eastAsia="zh-CN" w:bidi="ar"/>
              </w:rPr>
              <w:t>（十一）产品的临床评价细化要求</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根据《关于发布第二批免于进行临床试验医疗器械目录的通告》（国家食品药品监督管理总局通告2016年第133号），（以下简称《豁免目录》），“产品名称：血液流变仪/血液黏度计，分类编码：6840”包含在免于进行临床试验的第二类医疗器械目录中，注册申请人需按照《医疗器械临床评价技术指导原则》（国家食品药品监督管理总局通告2015年第14号）的要求提交临床评价资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2.与《豁免目录》中产品结构组成、工作原理、适用范围不一致的产品，企业可以根据《医疗器械临床评价技术指导原则》（国家食品药品监督管理总局通告2015年第14号）的要求提交与同类产品的对比的临床评价资料或进行临床试验，临床试验资料的提供应符合《医疗器械临床试验质量管理规范》（国家食品药品监督管理总局 中华人民共和国国家卫生和计划生育委员会令2016年第25号）的要求。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具体评价指标应包括：</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1.准确度评价试验。</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准确度评估资料室拟上市产品的重要依据,也是产品注册所需要申报资料之一。本规范对采用方法学比对进行准确度评估的实验方法和数据处理方法进行了原则性要求。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（1）方法学比对的基本原则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 xml:space="preserve">①熟悉待评价系统。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②编写仪器标准操作规程,其中包括校准程序和室内质控程序。</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③比对仪器的选择: 采用已经上市并经临床使用证明符合临床要求的仪器。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④参与评价的人员应符合专业要求。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（2）方法学比对的评估及数据处理方法：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①实验样品的基本要求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应符合实验室接受标本的要求，测定值应基本涵盖参考范围，其中至少有50%的标本测定结果在参考范围之外。</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②实验过程</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I.每天选择8个临床病人样本,在按1到8的顺序编号，用两种方法同时进行实验，按照1、2、3、4、5、6、7、8、8、7、6、5、4、3、2、1的样本顺序进行测定。</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II.以上实验至少重复5天,即至少分析40个不同的临床病人样本.每天实验必须进行校准和室内质控.只有在室内质控合格的情况下,当天的实验室数据才有效。</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③数据处理及结果报告</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I.记录测定结果(Xij和Yij)。</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II.计算每个样本测定的均值(Xi和Yi)，样本重复测定间差值的绝对值(DXi和DYi)及两种方法测定结果间的差值(Yi-Xi)。</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III.以Yi(比较方法的均值)对Xi(待评方法的均值)作散点图。</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IV.以两种方法测定结果间的差值(Yi-Xi)对Xi(待评方法的均值)作偏倚图。</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V.以两种方法的测定差值(Yij-Xij) 对Xi(待评方法的均值)作偏倚图。</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VI.检查批内离群点：计算样品重复测定间差值(DXi和DYi)的平均数，实验结果茶值超出平均数4倍时，则判断为离群点。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VII.检查批间离群点：计算两种方法测定结果间均值差值(Xi和Yi)的平均数，超出该平均数4倍时，则判断该样本为离群点。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VIII.相关系数计算：利用所有样本双份测定值进行相关系数计算 ，如果r0.975（或r20.95），则认为X范围适合。X的误差可以由数据范围给以适合补偿，并且简单的线性回归可以用来评价斜率和截距。如果r20.95，那麽必须通过分析一些样品以扩大数据范围，然后再检查全部数据系列。如果没有超出范围，采用分步偏差程序代替线性回归，评价平均偏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IX.回归计算：利用所有样本双份的有效数据，计算两个方法间的线性回归方程：Y=a+Bx。</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X.偏差估计：在医学决定水平，利用回归方程计算预期偏差，预期偏差Bx=a+（b-1）X，相对偏差=Bx/X。</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XI.临床可接受准则：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相对偏倚的预期偏差应小于7.5%-10%。</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2.精密度评价试验</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精密度评价试验应选择具有医学决定水平的正常和异常浓度的质控品，在送检仪器校准的当天每隔1h测定1次，共测定10次，计算出均值、标准差和CV值为批内精密度；批间精密度每天取出这两种质控物各1份，放置室温混合均匀后，连续测定20天，所有测定均为双管平行测定，计算出均值、标准差和CV值为批间精密度。评价结果应符合CV值应小于5%。</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注：医学决定水平由临床试验机构根据相关文献资料确定。</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left"/>
              <w:rPr>
                <w:sz w:val="18"/>
                <w:szCs w:val="18"/>
              </w:rPr>
            </w:pPr>
            <w:r>
              <w:rPr>
                <w:rFonts w:hint="eastAsia" w:ascii="微软雅黑" w:hAnsi="微软雅黑" w:eastAsia="微软雅黑" w:cs="微软雅黑"/>
                <w:kern w:val="0"/>
                <w:sz w:val="21"/>
                <w:szCs w:val="21"/>
                <w:lang w:val="en-US" w:eastAsia="zh-CN" w:bidi="ar"/>
              </w:rPr>
              <w:t>（十二）产品的不良事件历史记录</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暂未见相关报道。</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left"/>
              <w:rPr>
                <w:sz w:val="18"/>
                <w:szCs w:val="18"/>
              </w:rPr>
            </w:pPr>
            <w:r>
              <w:rPr>
                <w:rFonts w:hint="eastAsia" w:ascii="微软雅黑" w:hAnsi="微软雅黑" w:eastAsia="微软雅黑" w:cs="微软雅黑"/>
                <w:kern w:val="0"/>
                <w:sz w:val="21"/>
                <w:szCs w:val="21"/>
                <w:lang w:val="en-US" w:eastAsia="zh-CN" w:bidi="ar"/>
              </w:rPr>
              <w:t>（十三）产品说明书和标签要求</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说明书应当符合《医疗器械说明书和标签管理规定》（国家食品药品监督管理总局令第6号）的要求，审查要点为：</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1.产品正常操作的流程简图或正常操作的详细步骤，如对旋转法不同测试原理的操作方法说明；</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2.正常工作条件的说明；</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3.应当有警示性的说明；</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4.明确仪器使用标准黏度液标定方法；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5.常见故障的处理方法；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6.产品结构组成说明；</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7.产品的日常保养和维护的要求和方法，如对测量部分、管路(适用于全自动设备)、废液瓶等部件定期清洗的要求和方法，以及电磁阀、管路等部件定期更换的要求和方法；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8.产品耗材、配件的说明；</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9.关键部件的推荐使用寿命，如测量部分；</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10．明确切变率范围，并标明切变率所对应的黏度值；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11．明确黏度范围，并标明黏度所对应的切变率值。（若包括不同的方法学，应分别描述）</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标签应符合《医疗器械说明书和标签管理规定》（国家食品药品监督管理总局令第6号）和YY/T 0466.1-2009《医疗器械 用于医疗器械标签、标记和提供信息的符号》中的相关要求。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left"/>
              <w:rPr>
                <w:sz w:val="18"/>
                <w:szCs w:val="18"/>
              </w:rPr>
            </w:pPr>
            <w:r>
              <w:rPr>
                <w:rFonts w:hint="eastAsia" w:ascii="微软雅黑" w:hAnsi="微软雅黑" w:eastAsia="微软雅黑" w:cs="微软雅黑"/>
                <w:kern w:val="0"/>
                <w:sz w:val="21"/>
                <w:szCs w:val="21"/>
                <w:lang w:val="en-US" w:eastAsia="zh-CN" w:bidi="ar"/>
              </w:rPr>
              <w:t>（十四）产品的研究资料要求</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根据所申报的产品，提供适用的研究资料。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1.产品性能研究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应当提供产品性能研究资料以及产品技术要求的研究和编制说明，包括功能性、安全性指标（如电气安全与电磁兼容）以及与质量控制相关的其他指标的确定依据，所采用的标准或方法、采用的原因及理论基础。</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2.产品有效期和包装研究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（1）有效期的确定：应当提供产品有效期的验证报告。</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（2）包装及包装完整性：在宣称的有效期内以及运输储存条件下，保持包装完整性的依据。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3.软件研究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参见《医疗器械软件注册技术审查指导原则》（国家食品药品监督管理总局通告2015年第50号）的相关要求。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三、审查关注点</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审查中需重点关注以下几个方面：</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left"/>
              <w:rPr>
                <w:sz w:val="18"/>
                <w:szCs w:val="18"/>
              </w:rPr>
            </w:pPr>
            <w:r>
              <w:rPr>
                <w:rFonts w:hint="eastAsia" w:ascii="微软雅黑" w:hAnsi="微软雅黑" w:eastAsia="微软雅黑" w:cs="微软雅黑"/>
                <w:kern w:val="0"/>
                <w:sz w:val="21"/>
                <w:szCs w:val="21"/>
                <w:lang w:val="en-US" w:eastAsia="zh-CN" w:bidi="ar"/>
              </w:rPr>
              <w:t>（一）注册产品技术要求的编制要求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该产品的安全、性能要求分别由国家标准、行业标准规定的要求进行检查，因此企业根据产品的特性编写注册产品技术要求。注册产品应符合相关的强制性国家标准、行业标准和有关法律、法规的规定，并按国家食品药品监督管理局公布的《医疗器械产品技术要求编写指导原则》（国家食品药品监督管理总局通告2014年第9号）的要求编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（二）未完全符合《豁免目录》要求的血液流变仪/血液黏度计产品，应进行临床试验。进行临床试验的流变仪/黏度计产品的临床试验方案是否能验证产品的预期用途，临床试验结论是否明确。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（三）血液流变仪/血液黏度计产品的适用范围是否明确。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（四）血液流变仪/血液黏度计产品使用说明书中的方法学与临床试验资料中阐述的是否一致。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（五）产品的主要风险是否已经列举，并通过风险控制措施使产品的安全性在合理可接受的程度之内。</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left"/>
              <w:rPr>
                <w:sz w:val="18"/>
                <w:szCs w:val="18"/>
              </w:rPr>
            </w:pPr>
            <w:r>
              <w:rPr>
                <w:rFonts w:hint="eastAsia" w:ascii="微软雅黑" w:hAnsi="微软雅黑" w:eastAsia="微软雅黑" w:cs="微软雅黑"/>
                <w:kern w:val="0"/>
                <w:sz w:val="21"/>
                <w:szCs w:val="21"/>
                <w:lang w:val="en-US" w:eastAsia="zh-CN" w:bidi="ar"/>
              </w:rPr>
              <w:t>（六）检测报告中电磁兼容检验应与电气安全检验关联。</w:t>
            </w:r>
            <w:r>
              <w:rPr>
                <w:rFonts w:hint="default" w:ascii="仿宋_GB2312" w:eastAsia="仿宋_GB2312" w:cs="仿宋_GB2312"/>
                <w:kern w:val="0"/>
                <w:sz w:val="18"/>
                <w:szCs w:val="18"/>
                <w:lang w:val="en-US" w:eastAsia="zh-CN" w:bidi="ar"/>
              </w:rPr>
              <w:t xml:space="preserve"> </w:t>
            </w:r>
          </w:p>
          <w:p>
            <w:pPr>
              <w:keepNext w:val="0"/>
              <w:keepLines w:val="0"/>
              <w:widowControl/>
              <w:suppressLineNumbers w:val="0"/>
              <w:spacing w:before="300" w:beforeAutospacing="0"/>
              <w:jc w:val="left"/>
            </w:pPr>
          </w:p>
          <w:p>
            <w:pPr>
              <w:pStyle w:val="3"/>
              <w:keepNext w:val="0"/>
              <w:keepLines w:val="0"/>
              <w:widowControl/>
              <w:suppressLineNumbers w:val="0"/>
              <w:spacing w:before="300" w:beforeAutospacing="0" w:after="0" w:afterAutospacing="1" w:line="390" w:lineRule="atLeast"/>
              <w:ind w:left="0" w:right="0"/>
              <w:jc w:val="left"/>
              <w:rPr>
                <w:sz w:val="18"/>
                <w:szCs w:val="18"/>
              </w:rPr>
            </w:pPr>
            <w:r>
              <w:rPr>
                <w:rFonts w:hint="eastAsia" w:ascii="微软雅黑" w:hAnsi="微软雅黑" w:eastAsia="微软雅黑" w:cs="微软雅黑"/>
                <w:kern w:val="0"/>
                <w:sz w:val="21"/>
                <w:szCs w:val="21"/>
                <w:lang w:val="en-US" w:eastAsia="zh-CN" w:bidi="ar"/>
              </w:rPr>
              <w:t>附录</w:t>
            </w:r>
            <w:r>
              <w:rPr>
                <w:rFonts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一、本规范涉及的计算方法</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（一）线性回归</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将每份样品的X方法的第一个结果和Y方法的第一个对应，X方法的第二个结果和Y方法的第二个对应。对这些数据进行回归统计，计算公式为：</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回归直线的斜率：</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截距：</w:t>
            </w:r>
            <w:r>
              <w:rPr>
                <w:rFonts w:hint="default" w:ascii="Times New Roman" w:hAnsi="Times New Roman" w:cs="Times New Roman"/>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相关系数：</w:t>
            </w:r>
            <w:r>
              <w:rPr>
                <w:rFonts w:hint="default" w:ascii="Times New Roman" w:hAnsi="Times New Roman" w:cs="Times New Roman"/>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（二）系统误差与临床可接受准则的比较</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在给定的医学决定水平Xc（第三版《全国临床实验室操作规程》P62）上的预期偏倚Bc^（系统误差）的计算公式为：</w:t>
            </w:r>
            <w:r>
              <w:rPr>
                <w:rFonts w:hint="default" w:ascii="Times New Roman" w:hAnsi="Times New Roman" w:cs="Times New Roman"/>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SE(Bc^) = a +（b-1）Xc</w:t>
            </w:r>
            <w:r>
              <w:rPr>
                <w:rFonts w:hint="default" w:ascii="Times New Roman" w:hAnsi="Times New Roman" w:cs="Times New Roman"/>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（三）预期偏倚及其可信区间</w:t>
            </w:r>
            <w:r>
              <w:rPr>
                <w:rFonts w:hint="default"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因数据通过了适合范围和均匀离散度检查。</w:t>
            </w:r>
            <w:r>
              <w:rPr>
                <w:rFonts w:hint="default" w:ascii="Times New Roman" w:hAnsi="Times New Roman" w:cs="Times New Roman"/>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 xml:space="preserve">预期值：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在医学决定水平Xc浓度点的预期值 Y^ = a + b Xc。</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预期值的标准误: （Sy.x）</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在医学决定水平Xc浓度点的95%可信区间（在Xc的真正偏倚）为：</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二、计算公式中符号说明：</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（一）X 比对方法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（二）Y 待评方法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（三）i 样品号（由1、2、3到N，N=样品总数）</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（四）j 重复测定的观测值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0"/>
              <w:jc w:val="both"/>
              <w:rPr>
                <w:sz w:val="18"/>
                <w:szCs w:val="18"/>
              </w:rPr>
            </w:pPr>
            <w:r>
              <w:rPr>
                <w:rFonts w:hint="eastAsia" w:ascii="微软雅黑" w:hAnsi="微软雅黑" w:eastAsia="微软雅黑" w:cs="微软雅黑"/>
                <w:kern w:val="0"/>
                <w:sz w:val="21"/>
                <w:szCs w:val="21"/>
                <w:lang w:val="en-US" w:eastAsia="zh-CN" w:bidi="ar"/>
              </w:rPr>
              <w:t>（五）Xij或Yij 指第i次测定中，第j个重复观测值</w:t>
            </w:r>
            <w:r>
              <w:rPr>
                <w:rFonts w:hint="default" w:ascii="仿宋_GB2312" w:eastAsia="仿宋_GB2312" w:cs="仿宋_GB2312"/>
                <w:kern w:val="0"/>
                <w:sz w:val="18"/>
                <w:szCs w:val="18"/>
                <w:lang w:val="en-US" w:eastAsia="zh-CN" w:bidi="ar"/>
              </w:rPr>
              <w:t xml:space="preserve"> </w:t>
            </w:r>
          </w:p>
          <w:p>
            <w:pPr>
              <w:keepNext w:val="0"/>
              <w:keepLines w:val="0"/>
              <w:widowControl/>
              <w:suppressLineNumbers w:val="0"/>
              <w:spacing w:before="300" w:beforeAutospacing="0"/>
              <w:jc w:val="left"/>
            </w:pP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血液流变仪/血液黏度计产品</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kern w:val="0"/>
                <w:sz w:val="21"/>
                <w:szCs w:val="21"/>
                <w:lang w:val="en-US" w:eastAsia="zh-CN" w:bidi="ar"/>
              </w:rPr>
              <w:t>技术审评规范（2017版）修订说明</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一、起草目的和背景</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自2014年10月1日新版《医疗器械注册管理办法》以及相关文件实施后，以及行业标准YY/T 1460-2016血液流变仪的出台后，之前的技术审评规范中的部分内容与现行法规、行业标准不符，特别是原审评规范中仅体现旋转法一种工作原理的仪器要求，已无法满足目前注册产品的需求，为了满足审核人员和企业申报注册人员的需要，特进行本次修订。</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二、编写依据</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本审评规范主要依据《医疗器械监督管理条例》（中华人民共和国国务院令第650号）、《医疗器械注册管理办法》（国家食品药品监督管理总局令第4号）、《医疗器械说明书和标签管理规定》（国家食品药品监督管理总局令第6号）、产品注册相关规范性文件及YY/T 1460-2016《血液流变仪》的相关要求，结合血液流变仪产品的特点，制定本规范。</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三、重点内容说明</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正文实质性修改主要涉及以下几点：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（一）参照国家食品药品监督管理总局注册技术审查指导原则编写格式的最新要求对原审评规范的整体格式加以规范，并按照要求增加“产品生产制造相关要求”和“产品的不良事件历史记录”两项内容。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 xml:space="preserve">（二）产品的结构与组成按照《豁免目录》中产品的结构进行了规范，修改后的内容与《豁免目录》保持一致。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（三）增加以毛细管法为工作原理的产品的相关要求。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（四）产品适用的相关标准中增加了安全要求标准GB 4793.9-2013，GB 4793.6-2008；电磁兼容标准GB/T 18268.1-2010和GB/T 18268.26-2010。</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（五）按照法规要求增加产品研究资料的要求。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（六）产品性能指标中按照YY/T 1460-2016对产品性能指标进行了更改；增加了安全要求GB4793.6-2008和GB 4793.9-2013，电磁兼容要求GB/T 18268.1-2010和GB/T 18268.26-2010。</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（七）同一注册单元内注册检验代表产品的确定原则和实例中详述了确定原则，并增加了实例。</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八）产品的临床评价的细化要求中由于血液流变仪/血液黏度计属于豁免目录中的产品，因此属于《豁免目录》范围内的产品无需提供临床试验资料。但是若产品的性能结构或预期用途与《豁免目录》中不一致，应提供与同类产品比对的临床评价资料；需要进行临床试验的应按照要求进行临床试验。</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41"/>
              <w:jc w:val="both"/>
              <w:rPr>
                <w:sz w:val="18"/>
                <w:szCs w:val="18"/>
              </w:rPr>
            </w:pPr>
            <w:r>
              <w:rPr>
                <w:rFonts w:hint="eastAsia" w:ascii="微软雅黑" w:hAnsi="微软雅黑" w:eastAsia="微软雅黑" w:cs="微软雅黑"/>
                <w:kern w:val="0"/>
                <w:sz w:val="21"/>
                <w:szCs w:val="21"/>
                <w:lang w:val="en-US" w:eastAsia="zh-CN" w:bidi="ar"/>
              </w:rPr>
              <w:t>（九）审查关注点中将注册产品标准中需要注意的问题更改为产品技术要求中需要注意的问题。增加了产品风险和安全检验报告和电磁兼容检验报告的关联性两个关注点。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　</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both"/>
              <w:rPr>
                <w:sz w:val="18"/>
                <w:szCs w:val="18"/>
              </w:rPr>
            </w:pPr>
            <w:r>
              <w:rPr>
                <w:rFonts w:hint="eastAsia" w:ascii="微软雅黑" w:hAnsi="微软雅黑" w:eastAsia="微软雅黑" w:cs="微软雅黑"/>
                <w:kern w:val="0"/>
                <w:sz w:val="21"/>
                <w:szCs w:val="21"/>
                <w:lang w:val="en-US" w:eastAsia="zh-CN" w:bidi="ar"/>
              </w:rPr>
              <w:t>　</w:t>
            </w:r>
            <w:bookmarkStart w:id="0" w:name="CopySend"/>
            <w:bookmarkEnd w:id="0"/>
            <w:r>
              <w:rPr>
                <w:rFonts w:hint="eastAsia" w:ascii="微软雅黑" w:hAnsi="微软雅黑" w:eastAsia="微软雅黑" w:cs="微软雅黑"/>
                <w:kern w:val="0"/>
                <w:sz w:val="21"/>
                <w:szCs w:val="21"/>
                <w:lang w:val="en-US" w:eastAsia="zh-CN" w:bidi="ar"/>
              </w:rPr>
              <w:t xml:space="preserve">北京市食品药品监督管理局办公室 </w:t>
            </w:r>
            <w:bookmarkStart w:id="1" w:name="nowTime"/>
            <w:r>
              <w:rPr>
                <w:rFonts w:hint="eastAsia" w:ascii="微软雅黑" w:hAnsi="微软雅黑" w:eastAsia="微软雅黑" w:cs="微软雅黑"/>
                <w:kern w:val="0"/>
                <w:sz w:val="21"/>
                <w:szCs w:val="21"/>
                <w:u w:val="none"/>
                <w:lang w:val="en-US" w:eastAsia="zh-CN" w:bidi="ar"/>
              </w:rPr>
              <w:t>2017年5月26日</w:t>
            </w:r>
            <w:bookmarkEnd w:id="1"/>
            <w:r>
              <w:rPr>
                <w:rFonts w:hint="eastAsia" w:ascii="微软雅黑" w:hAnsi="微软雅黑" w:eastAsia="微软雅黑" w:cs="微软雅黑"/>
                <w:kern w:val="0"/>
                <w:sz w:val="21"/>
                <w:szCs w:val="21"/>
                <w:lang w:val="en-US" w:eastAsia="zh-CN" w:bidi="ar"/>
              </w:rPr>
              <w:t>印发　</w:t>
            </w:r>
            <w:r>
              <w:rPr>
                <w:rFonts w:hint="default" w:ascii="仿宋_GB2312" w:eastAsia="仿宋_GB2312" w:cs="仿宋_GB2312"/>
                <w:kern w:val="0"/>
                <w:sz w:val="18"/>
                <w:szCs w:val="18"/>
                <w:lang w:val="en-US" w:eastAsia="zh-CN" w:bidi="ar"/>
              </w:rPr>
              <w:t xml:space="preserve"> </w:t>
            </w:r>
          </w:p>
          <w:p>
            <w:pPr>
              <w:keepNext w:val="0"/>
              <w:keepLines w:val="0"/>
              <w:widowControl/>
              <w:suppressLineNumbers w:val="0"/>
              <w:spacing w:before="300" w:beforeAutospacing="0"/>
              <w:jc w:val="left"/>
            </w:pPr>
          </w:p>
        </w:tc>
      </w:tr>
      <w:tr>
        <w:tblPrEx>
          <w:tblLayout w:type="fixed"/>
          <w:tblCellMar>
            <w:top w:w="45" w:type="dxa"/>
            <w:left w:w="45" w:type="dxa"/>
            <w:bottom w:w="45" w:type="dxa"/>
            <w:right w:w="45" w:type="dxa"/>
          </w:tblCellMar>
        </w:tblPrEx>
        <w:trPr>
          <w:trHeight w:val="600" w:hRule="atLeast"/>
          <w:tblCellSpacing w:w="7" w:type="dxa"/>
        </w:trPr>
        <w:tc>
          <w:tcPr>
            <w:tcW w:w="10556" w:type="dxa"/>
            <w:shd w:val="clear" w:color="auto" w:fill="auto"/>
            <w:vAlign w:val="center"/>
          </w:tcPr>
          <w:tbl>
            <w:tblPr>
              <w:tblStyle w:val="7"/>
              <w:tblW w:w="10466" w:type="dxa"/>
              <w:jc w:val="center"/>
              <w:tblCellSpacing w:w="0" w:type="dxa"/>
              <w:tblInd w:w="0" w:type="dxa"/>
              <w:shd w:val="clear" w:color="auto" w:fill="auto"/>
              <w:tblLayout w:type="fixed"/>
              <w:tblCellMar>
                <w:top w:w="0" w:type="dxa"/>
                <w:left w:w="0" w:type="dxa"/>
                <w:bottom w:w="0" w:type="dxa"/>
                <w:right w:w="0" w:type="dxa"/>
              </w:tblCellMar>
            </w:tblPr>
            <w:tblGrid>
              <w:gridCol w:w="10466"/>
            </w:tblGrid>
            <w:tr>
              <w:tblPrEx>
                <w:shd w:val="clear" w:color="auto" w:fill="auto"/>
                <w:tblLayout w:type="fixed"/>
                <w:tblCellMar>
                  <w:top w:w="0" w:type="dxa"/>
                  <w:left w:w="0" w:type="dxa"/>
                  <w:bottom w:w="0" w:type="dxa"/>
                  <w:right w:w="0" w:type="dxa"/>
                </w:tblCellMar>
              </w:tblPrEx>
              <w:trPr>
                <w:tblCellSpacing w:w="0" w:type="dxa"/>
                <w:jc w:val="center"/>
              </w:trPr>
              <w:tc>
                <w:tcPr>
                  <w:tcW w:w="10466" w:type="dxa"/>
                  <w:shd w:val="clear" w:color="auto" w:fill="auto"/>
                  <w:vAlign w:val="bottom"/>
                </w:tcPr>
                <w:p>
                  <w:pPr>
                    <w:keepNext w:val="0"/>
                    <w:keepLines w:val="0"/>
                    <w:widowControl/>
                    <w:suppressLineNumbers w:val="0"/>
                    <w:jc w:val="center"/>
                    <w:rPr>
                      <w:sz w:val="18"/>
                      <w:szCs w:val="18"/>
                    </w:rPr>
                  </w:pPr>
                </w:p>
              </w:tc>
            </w:tr>
          </w:tbl>
          <w:p>
            <w:pPr>
              <w:jc w:val="center"/>
              <w:rPr>
                <w:sz w:val="18"/>
                <w:szCs w:val="18"/>
              </w:rPr>
            </w:pPr>
          </w:p>
        </w:tc>
      </w:tr>
      <w:tr>
        <w:tblPrEx>
          <w:tblLayout w:type="fixed"/>
          <w:tblCellMar>
            <w:top w:w="45" w:type="dxa"/>
            <w:left w:w="45" w:type="dxa"/>
            <w:bottom w:w="45" w:type="dxa"/>
            <w:right w:w="45" w:type="dxa"/>
          </w:tblCellMar>
        </w:tblPrEx>
        <w:trPr>
          <w:tblCellSpacing w:w="7" w:type="dxa"/>
        </w:trPr>
        <w:tc>
          <w:tcPr>
            <w:tcW w:w="10556" w:type="dxa"/>
            <w:shd w:val="clear" w:color="auto" w:fill="auto"/>
            <w:vAlign w:val="center"/>
          </w:tcPr>
          <w:p>
            <w:pPr>
              <w:keepNext w:val="0"/>
              <w:keepLines w:val="0"/>
              <w:widowControl/>
              <w:suppressLineNumbers w:val="0"/>
              <w:pBdr>
                <w:top w:val="none" w:color="auto" w:sz="0" w:space="0"/>
                <w:bottom w:val="none" w:color="auto" w:sz="0" w:space="0"/>
                <w:right w:val="none" w:color="auto" w:sz="0" w:space="0"/>
              </w:pBdr>
              <w:jc w:val="left"/>
              <w:rPr>
                <w:sz w:val="18"/>
                <w:szCs w:val="18"/>
              </w:rPr>
            </w:pPr>
          </w:p>
        </w:tc>
      </w:tr>
    </w:tbl>
    <w:p>
      <w:pPr>
        <w:keepNext w:val="0"/>
        <w:keepLines w:val="0"/>
        <w:widowControl/>
        <w:suppressLineNumbers w:val="0"/>
        <w:spacing w:before="0" w:beforeAutospacing="0" w:after="0" w:afterAutospacing="0"/>
        <w:ind w:left="0" w:right="0"/>
        <w:jc w:val="left"/>
        <w:rPr>
          <w:rFonts w:hint="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36407"/>
    <w:rsid w:val="008B7C3B"/>
    <w:rsid w:val="01721F9C"/>
    <w:rsid w:val="064D7105"/>
    <w:rsid w:val="0E1A6945"/>
    <w:rsid w:val="0E883B7C"/>
    <w:rsid w:val="10602A5C"/>
    <w:rsid w:val="110330FD"/>
    <w:rsid w:val="11E36407"/>
    <w:rsid w:val="1215071A"/>
    <w:rsid w:val="143D52E2"/>
    <w:rsid w:val="16D80440"/>
    <w:rsid w:val="18AD1832"/>
    <w:rsid w:val="1D1C0A6E"/>
    <w:rsid w:val="1EAD5651"/>
    <w:rsid w:val="22287740"/>
    <w:rsid w:val="238A400A"/>
    <w:rsid w:val="2F6B7952"/>
    <w:rsid w:val="34A67D1C"/>
    <w:rsid w:val="34E06B18"/>
    <w:rsid w:val="35896C34"/>
    <w:rsid w:val="3C812ADF"/>
    <w:rsid w:val="41DC4AE4"/>
    <w:rsid w:val="465D5B98"/>
    <w:rsid w:val="541173CA"/>
    <w:rsid w:val="55697BBF"/>
    <w:rsid w:val="5688003B"/>
    <w:rsid w:val="5B9F1CE9"/>
    <w:rsid w:val="5EF04ABF"/>
    <w:rsid w:val="5F136D01"/>
    <w:rsid w:val="5F345818"/>
    <w:rsid w:val="6642475B"/>
    <w:rsid w:val="67DC04E5"/>
    <w:rsid w:val="6DCB0FF7"/>
    <w:rsid w:val="71F05A05"/>
    <w:rsid w:val="77F605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FollowedHyperlink"/>
    <w:basedOn w:val="4"/>
    <w:qFormat/>
    <w:uiPriority w:val="0"/>
    <w:rPr>
      <w:rFonts w:ascii="微软雅黑" w:hAnsi="微软雅黑" w:eastAsia="微软雅黑" w:cs="微软雅黑"/>
      <w:color w:val="800080"/>
      <w:sz w:val="18"/>
      <w:szCs w:val="18"/>
      <w:u w:val="none"/>
    </w:rPr>
  </w:style>
  <w:style w:type="character" w:styleId="6">
    <w:name w:val="Hyperlink"/>
    <w:basedOn w:val="4"/>
    <w:qFormat/>
    <w:uiPriority w:val="0"/>
    <w:rPr>
      <w:rFonts w:hint="eastAsia" w:ascii="微软雅黑" w:hAnsi="微软雅黑" w:eastAsia="微软雅黑" w:cs="微软雅黑"/>
      <w:color w:val="0000FF"/>
      <w:sz w:val="18"/>
      <w:szCs w:val="18"/>
      <w:u w:val="none"/>
    </w:rPr>
  </w:style>
  <w:style w:type="paragraph" w:customStyle="1" w:styleId="8">
    <w:name w:val="p65"/>
    <w:basedOn w:val="1"/>
    <w:qFormat/>
    <w:uiPriority w:val="0"/>
    <w:pPr>
      <w:ind w:firstLine="622"/>
      <w:jc w:val="left"/>
    </w:pPr>
    <w:rPr>
      <w:rFonts w:ascii="楷体_GB2312" w:eastAsia="楷体_GB2312" w:cs="楷体_GB2312"/>
      <w:kern w:val="0"/>
      <w:sz w:val="32"/>
      <w:szCs w:val="32"/>
      <w:lang w:val="en-US" w:eastAsia="zh-CN" w:bidi="ar"/>
    </w:rPr>
  </w:style>
  <w:style w:type="paragraph" w:customStyle="1" w:styleId="9">
    <w:name w:val="p60"/>
    <w:basedOn w:val="1"/>
    <w:uiPriority w:val="0"/>
    <w:pPr>
      <w:jc w:val="both"/>
    </w:pPr>
    <w:rPr>
      <w:rFonts w:hint="eastAsia" w:ascii="宋体" w:hAnsi="宋体" w:eastAsia="宋体" w:cs="宋体"/>
      <w:kern w:val="0"/>
      <w:sz w:val="24"/>
      <w:szCs w:val="24"/>
      <w:lang w:val="en-US" w:eastAsia="zh-CN" w:bidi="ar"/>
    </w:rPr>
  </w:style>
  <w:style w:type="paragraph" w:customStyle="1" w:styleId="10">
    <w:name w:val="p1"/>
    <w:basedOn w:val="1"/>
    <w:qFormat/>
    <w:uiPriority w:val="0"/>
    <w:pPr>
      <w:jc w:val="both"/>
    </w:pPr>
    <w:rPr>
      <w:rFonts w:ascii="黑体" w:hAnsi="宋体" w:eastAsia="黑体" w:cs="黑体"/>
      <w:kern w:val="0"/>
      <w:sz w:val="32"/>
      <w:szCs w:val="32"/>
      <w:lang w:val="en-US" w:eastAsia="zh-CN" w:bidi="ar"/>
    </w:rPr>
  </w:style>
  <w:style w:type="paragraph" w:customStyle="1" w:styleId="11">
    <w:name w:val="p71"/>
    <w:basedOn w:val="1"/>
    <w:qFormat/>
    <w:uiPriority w:val="0"/>
    <w:pPr>
      <w:spacing w:before="289" w:beforeAutospacing="0"/>
      <w:ind w:firstLine="924"/>
      <w:jc w:val="center"/>
    </w:pPr>
    <w:rPr>
      <w:rFonts w:hint="eastAsia" w:ascii="宋体" w:hAnsi="宋体" w:eastAsia="宋体" w:cs="宋体"/>
      <w:kern w:val="0"/>
      <w:sz w:val="24"/>
      <w:szCs w:val="24"/>
      <w:lang w:val="en-US" w:eastAsia="zh-CN" w:bidi="ar"/>
    </w:rPr>
  </w:style>
  <w:style w:type="paragraph" w:customStyle="1" w:styleId="12">
    <w:name w:val="p49"/>
    <w:basedOn w:val="1"/>
    <w:qFormat/>
    <w:uiPriority w:val="0"/>
    <w:pPr>
      <w:ind w:firstLine="622"/>
      <w:jc w:val="left"/>
    </w:pPr>
    <w:rPr>
      <w:rFonts w:hint="default" w:ascii="Times New Roman" w:hAnsi="Times New Roman" w:cs="Times New Roman"/>
      <w:kern w:val="0"/>
      <w:sz w:val="32"/>
      <w:szCs w:val="32"/>
      <w:lang w:val="en-US" w:eastAsia="zh-CN" w:bidi="ar"/>
    </w:rPr>
  </w:style>
  <w:style w:type="paragraph" w:customStyle="1" w:styleId="13">
    <w:name w:val="p6"/>
    <w:basedOn w:val="1"/>
    <w:qFormat/>
    <w:uiPriority w:val="0"/>
    <w:pPr>
      <w:ind w:firstLine="622"/>
      <w:jc w:val="both"/>
    </w:pPr>
    <w:rPr>
      <w:rFonts w:ascii="仿宋_GB2312" w:eastAsia="仿宋_GB2312" w:cs="仿宋_GB2312"/>
      <w:kern w:val="0"/>
      <w:sz w:val="32"/>
      <w:szCs w:val="32"/>
      <w:lang w:val="en-US" w:eastAsia="zh-CN" w:bidi="ar"/>
    </w:rPr>
  </w:style>
  <w:style w:type="paragraph" w:customStyle="1" w:styleId="14">
    <w:name w:val="p79"/>
    <w:basedOn w:val="1"/>
    <w:qFormat/>
    <w:uiPriority w:val="0"/>
    <w:pPr>
      <w:ind w:firstLine="1039"/>
      <w:jc w:val="both"/>
    </w:pPr>
    <w:rPr>
      <w:rFonts w:hint="eastAsia" w:ascii="宋体" w:hAnsi="宋体" w:eastAsia="宋体" w:cs="宋体"/>
      <w:kern w:val="0"/>
      <w:sz w:val="24"/>
      <w:szCs w:val="24"/>
      <w:lang w:val="en-US" w:eastAsia="zh-CN" w:bidi="ar"/>
    </w:rPr>
  </w:style>
  <w:style w:type="paragraph" w:customStyle="1" w:styleId="15">
    <w:name w:val="p17"/>
    <w:basedOn w:val="1"/>
    <w:qFormat/>
    <w:uiPriority w:val="0"/>
    <w:pPr>
      <w:ind w:firstLine="606"/>
      <w:jc w:val="left"/>
    </w:pPr>
    <w:rPr>
      <w:rFonts w:hint="default" w:ascii="仿宋_GB2312" w:eastAsia="仿宋_GB2312" w:cs="仿宋_GB2312"/>
      <w:kern w:val="0"/>
      <w:sz w:val="32"/>
      <w:szCs w:val="32"/>
      <w:lang w:val="en-US" w:eastAsia="zh-CN" w:bidi="ar"/>
    </w:rPr>
  </w:style>
  <w:style w:type="paragraph" w:customStyle="1" w:styleId="16">
    <w:name w:val="p9"/>
    <w:basedOn w:val="1"/>
    <w:uiPriority w:val="0"/>
    <w:pPr>
      <w:ind w:firstLine="641"/>
      <w:jc w:val="both"/>
    </w:pPr>
    <w:rPr>
      <w:rFonts w:hint="default" w:ascii="仿宋_GB2312" w:eastAsia="仿宋_GB2312" w:cs="仿宋_GB2312"/>
      <w:kern w:val="0"/>
      <w:sz w:val="32"/>
      <w:szCs w:val="32"/>
      <w:lang w:val="en-US" w:eastAsia="zh-CN" w:bidi="ar"/>
    </w:rPr>
  </w:style>
  <w:style w:type="paragraph" w:customStyle="1" w:styleId="17">
    <w:name w:val="p66"/>
    <w:basedOn w:val="1"/>
    <w:uiPriority w:val="0"/>
    <w:pPr>
      <w:ind w:firstLine="640"/>
      <w:jc w:val="left"/>
    </w:pPr>
    <w:rPr>
      <w:rFonts w:hint="default" w:ascii="仿宋_GB2312" w:eastAsia="仿宋_GB2312" w:cs="仿宋_GB2312"/>
      <w:kern w:val="0"/>
      <w:sz w:val="32"/>
      <w:szCs w:val="32"/>
      <w:lang w:val="en-US" w:eastAsia="zh-CN" w:bidi="ar"/>
    </w:rPr>
  </w:style>
  <w:style w:type="paragraph" w:customStyle="1" w:styleId="18">
    <w:name w:val="p19"/>
    <w:basedOn w:val="1"/>
    <w:qFormat/>
    <w:uiPriority w:val="0"/>
    <w:pPr>
      <w:ind w:firstLine="622"/>
      <w:jc w:val="left"/>
    </w:pPr>
    <w:rPr>
      <w:rFonts w:hint="default" w:ascii="仿宋_GB2312" w:eastAsia="仿宋_GB2312" w:cs="仿宋_GB2312"/>
      <w:kern w:val="0"/>
      <w:sz w:val="32"/>
      <w:szCs w:val="32"/>
      <w:lang w:val="en-US" w:eastAsia="zh-CN" w:bidi="ar"/>
    </w:rPr>
  </w:style>
  <w:style w:type="paragraph" w:customStyle="1" w:styleId="19">
    <w:name w:val="p74"/>
    <w:basedOn w:val="1"/>
    <w:qFormat/>
    <w:uiPriority w:val="0"/>
    <w:pPr>
      <w:spacing w:before="289" w:beforeAutospacing="0"/>
      <w:ind w:firstLine="560"/>
      <w:jc w:val="center"/>
    </w:pPr>
    <w:rPr>
      <w:rFonts w:hint="default" w:ascii="仿宋_GB2312" w:eastAsia="仿宋_GB2312" w:cs="仿宋_GB2312"/>
      <w:kern w:val="0"/>
      <w:sz w:val="28"/>
      <w:szCs w:val="28"/>
      <w:lang w:val="en-US" w:eastAsia="zh-CN" w:bidi="ar"/>
    </w:rPr>
  </w:style>
  <w:style w:type="paragraph" w:customStyle="1" w:styleId="20">
    <w:name w:val="p28"/>
    <w:basedOn w:val="1"/>
    <w:qFormat/>
    <w:uiPriority w:val="0"/>
    <w:pPr>
      <w:ind w:firstLine="606"/>
      <w:jc w:val="both"/>
    </w:pPr>
    <w:rPr>
      <w:rFonts w:hint="default" w:ascii="仿宋_GB2312" w:eastAsia="仿宋_GB2312" w:cs="仿宋_GB2312"/>
      <w:kern w:val="0"/>
      <w:sz w:val="32"/>
      <w:szCs w:val="32"/>
      <w:lang w:val="en-US" w:eastAsia="zh-CN" w:bidi="ar"/>
    </w:rPr>
  </w:style>
  <w:style w:type="paragraph" w:customStyle="1" w:styleId="21">
    <w:name w:val="p18"/>
    <w:basedOn w:val="1"/>
    <w:qFormat/>
    <w:uiPriority w:val="0"/>
    <w:pPr>
      <w:ind w:firstLine="606"/>
      <w:jc w:val="left"/>
    </w:pPr>
    <w:rPr>
      <w:rFonts w:hint="eastAsia" w:ascii="黑体" w:hAnsi="宋体" w:eastAsia="黑体" w:cs="黑体"/>
      <w:kern w:val="0"/>
      <w:sz w:val="32"/>
      <w:szCs w:val="32"/>
      <w:lang w:val="en-US" w:eastAsia="zh-CN" w:bidi="ar"/>
    </w:rPr>
  </w:style>
  <w:style w:type="paragraph" w:customStyle="1" w:styleId="22">
    <w:name w:val="p30"/>
    <w:basedOn w:val="1"/>
    <w:qFormat/>
    <w:uiPriority w:val="0"/>
    <w:pPr>
      <w:ind w:firstLine="933"/>
      <w:jc w:val="left"/>
    </w:pPr>
    <w:rPr>
      <w:rFonts w:hint="default" w:ascii="仿宋_GB2312" w:eastAsia="仿宋_GB2312" w:cs="仿宋_GB2312"/>
      <w:kern w:val="0"/>
      <w:sz w:val="32"/>
      <w:szCs w:val="32"/>
      <w:lang w:val="en-US" w:eastAsia="zh-CN" w:bidi="ar"/>
    </w:rPr>
  </w:style>
  <w:style w:type="paragraph" w:customStyle="1" w:styleId="23">
    <w:name w:val="p12"/>
    <w:basedOn w:val="1"/>
    <w:uiPriority w:val="0"/>
    <w:pPr>
      <w:ind w:firstLine="622"/>
      <w:jc w:val="both"/>
    </w:pPr>
    <w:rPr>
      <w:rFonts w:hint="default" w:ascii="楷体_GB2312" w:eastAsia="楷体_GB2312" w:cs="楷体_GB2312"/>
      <w:kern w:val="0"/>
      <w:sz w:val="32"/>
      <w:szCs w:val="32"/>
      <w:lang w:val="en-US" w:eastAsia="zh-CN" w:bidi="ar"/>
    </w:rPr>
  </w:style>
  <w:style w:type="paragraph" w:customStyle="1" w:styleId="24">
    <w:name w:val="p47"/>
    <w:basedOn w:val="1"/>
    <w:qFormat/>
    <w:uiPriority w:val="0"/>
    <w:pPr>
      <w:ind w:firstLine="195"/>
      <w:jc w:val="center"/>
    </w:pPr>
    <w:rPr>
      <w:rFonts w:ascii="方正小标宋简体" w:hAnsi="方正小标宋简体" w:eastAsia="方正小标宋简体" w:cs="方正小标宋简体"/>
      <w:kern w:val="0"/>
      <w:sz w:val="44"/>
      <w:szCs w:val="44"/>
      <w:lang w:val="en-US" w:eastAsia="zh-CN" w:bidi="ar"/>
    </w:rPr>
  </w:style>
  <w:style w:type="paragraph" w:customStyle="1" w:styleId="25">
    <w:name w:val="p83"/>
    <w:basedOn w:val="1"/>
    <w:qFormat/>
    <w:uiPriority w:val="0"/>
    <w:pPr>
      <w:ind w:firstLine="641"/>
      <w:jc w:val="left"/>
    </w:pPr>
    <w:rPr>
      <w:rFonts w:hint="default" w:ascii="仿宋_GB2312" w:eastAsia="仿宋_GB2312" w:cs="仿宋_GB2312"/>
      <w:kern w:val="0"/>
      <w:sz w:val="32"/>
      <w:szCs w:val="32"/>
      <w:lang w:val="en-US" w:eastAsia="zh-CN" w:bidi="ar"/>
    </w:rPr>
  </w:style>
  <w:style w:type="paragraph" w:customStyle="1" w:styleId="26">
    <w:name w:val="p75"/>
    <w:basedOn w:val="1"/>
    <w:uiPriority w:val="0"/>
    <w:pPr>
      <w:ind w:firstLine="346"/>
      <w:jc w:val="both"/>
    </w:pPr>
    <w:rPr>
      <w:rFonts w:hint="eastAsia" w:ascii="宋体" w:hAnsi="宋体" w:eastAsia="宋体" w:cs="宋体"/>
      <w:kern w:val="0"/>
      <w:sz w:val="24"/>
      <w:szCs w:val="24"/>
      <w:lang w:val="en-US" w:eastAsia="zh-CN" w:bidi="ar"/>
    </w:rPr>
  </w:style>
  <w:style w:type="paragraph" w:customStyle="1" w:styleId="27">
    <w:name w:val="p2"/>
    <w:basedOn w:val="1"/>
    <w:qFormat/>
    <w:uiPriority w:val="0"/>
    <w:pPr>
      <w:jc w:val="both"/>
    </w:pPr>
    <w:rPr>
      <w:rFonts w:hint="default" w:ascii="仿宋_GB2312" w:eastAsia="仿宋_GB2312" w:cs="仿宋_GB2312"/>
      <w:kern w:val="0"/>
      <w:sz w:val="32"/>
      <w:szCs w:val="32"/>
      <w:lang w:val="en-US" w:eastAsia="zh-CN" w:bidi="ar"/>
    </w:rPr>
  </w:style>
  <w:style w:type="paragraph" w:customStyle="1" w:styleId="28">
    <w:name w:val="p35"/>
    <w:basedOn w:val="1"/>
    <w:qFormat/>
    <w:uiPriority w:val="0"/>
    <w:pPr>
      <w:ind w:firstLine="590"/>
      <w:jc w:val="left"/>
    </w:pPr>
    <w:rPr>
      <w:rFonts w:hint="default" w:ascii="仿宋_GB2312" w:eastAsia="仿宋_GB2312" w:cs="仿宋_GB2312"/>
      <w:kern w:val="0"/>
      <w:sz w:val="32"/>
      <w:szCs w:val="32"/>
      <w:lang w:val="en-US" w:eastAsia="zh-CN" w:bidi="ar"/>
    </w:rPr>
  </w:style>
  <w:style w:type="paragraph" w:customStyle="1" w:styleId="29">
    <w:name w:val="p10"/>
    <w:basedOn w:val="1"/>
    <w:qFormat/>
    <w:uiPriority w:val="0"/>
    <w:pPr>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30">
    <w:name w:val="p111"/>
    <w:basedOn w:val="1"/>
    <w:qFormat/>
    <w:uiPriority w:val="0"/>
    <w:pPr>
      <w:ind w:firstLine="622"/>
      <w:jc w:val="both"/>
    </w:pPr>
    <w:rPr>
      <w:rFonts w:hint="eastAsia" w:ascii="黑体" w:hAnsi="宋体" w:eastAsia="黑体" w:cs="黑体"/>
      <w:kern w:val="0"/>
      <w:sz w:val="32"/>
      <w:szCs w:val="32"/>
      <w:lang w:val="en-US" w:eastAsia="zh-CN" w:bidi="ar"/>
    </w:rPr>
  </w:style>
  <w:style w:type="paragraph" w:customStyle="1" w:styleId="31">
    <w:name w:val="p27"/>
    <w:basedOn w:val="1"/>
    <w:qFormat/>
    <w:uiPriority w:val="0"/>
    <w:pPr>
      <w:ind w:firstLine="540"/>
      <w:jc w:val="both"/>
    </w:pPr>
    <w:rPr>
      <w:rFonts w:hint="default" w:ascii="仿宋_GB2312" w:eastAsia="仿宋_GB2312" w:cs="仿宋_GB2312"/>
      <w:kern w:val="0"/>
      <w:sz w:val="32"/>
      <w:szCs w:val="32"/>
      <w:lang w:val="en-US" w:eastAsia="zh-CN" w:bidi="ar"/>
    </w:rPr>
  </w:style>
  <w:style w:type="paragraph" w:customStyle="1" w:styleId="32">
    <w:name w:val="p29"/>
    <w:basedOn w:val="1"/>
    <w:qFormat/>
    <w:uiPriority w:val="0"/>
    <w:pPr>
      <w:ind w:firstLine="676"/>
      <w:jc w:val="left"/>
    </w:pPr>
    <w:rPr>
      <w:rFonts w:hint="default" w:ascii="仿宋_GB2312" w:eastAsia="仿宋_GB2312" w:cs="仿宋_GB2312"/>
      <w:kern w:val="0"/>
      <w:sz w:val="32"/>
      <w:szCs w:val="32"/>
      <w:lang w:val="en-US" w:eastAsia="zh-CN" w:bidi="ar"/>
    </w:rPr>
  </w:style>
  <w:style w:type="paragraph" w:customStyle="1" w:styleId="33">
    <w:name w:val="p311"/>
    <w:basedOn w:val="1"/>
    <w:uiPriority w:val="0"/>
    <w:pPr>
      <w:jc w:val="both"/>
    </w:pPr>
    <w:rPr>
      <w:rFonts w:hint="default" w:ascii="仿宋_GB2312" w:eastAsia="仿宋_GB2312" w:cs="仿宋_GB2312"/>
      <w:kern w:val="0"/>
      <w:sz w:val="28"/>
      <w:szCs w:val="28"/>
      <w:lang w:val="en-US" w:eastAsia="zh-CN" w:bidi="ar"/>
    </w:rPr>
  </w:style>
  <w:style w:type="paragraph" w:customStyle="1" w:styleId="34">
    <w:name w:val="p33"/>
    <w:basedOn w:val="1"/>
    <w:qFormat/>
    <w:uiPriority w:val="0"/>
    <w:pPr>
      <w:ind w:firstLine="606"/>
      <w:jc w:val="both"/>
    </w:pPr>
    <w:rPr>
      <w:rFonts w:hint="eastAsia" w:ascii="黑体" w:hAnsi="宋体" w:eastAsia="黑体" w:cs="黑体"/>
      <w:kern w:val="0"/>
      <w:sz w:val="32"/>
      <w:szCs w:val="32"/>
      <w:lang w:val="en-US" w:eastAsia="zh-CN" w:bidi="ar"/>
    </w:rPr>
  </w:style>
  <w:style w:type="paragraph" w:customStyle="1" w:styleId="35">
    <w:name w:val="p34"/>
    <w:basedOn w:val="1"/>
    <w:qFormat/>
    <w:uiPriority w:val="0"/>
    <w:pPr>
      <w:ind w:firstLine="590"/>
      <w:jc w:val="both"/>
    </w:pPr>
    <w:rPr>
      <w:rFonts w:hint="default" w:ascii="仿宋_GB2312" w:eastAsia="仿宋_GB2312" w:cs="仿宋_GB2312"/>
      <w:kern w:val="0"/>
      <w:sz w:val="32"/>
      <w:szCs w:val="32"/>
      <w:lang w:val="en-US" w:eastAsia="zh-CN" w:bidi="ar"/>
    </w:rPr>
  </w:style>
  <w:style w:type="paragraph" w:customStyle="1" w:styleId="36">
    <w:name w:val="p37"/>
    <w:basedOn w:val="1"/>
    <w:qFormat/>
    <w:uiPriority w:val="0"/>
    <w:pPr>
      <w:ind w:firstLine="610"/>
      <w:jc w:val="left"/>
    </w:pPr>
    <w:rPr>
      <w:rFonts w:hint="default" w:ascii="仿宋_GB2312" w:eastAsia="仿宋_GB2312" w:cs="仿宋_GB2312"/>
      <w:kern w:val="0"/>
      <w:sz w:val="32"/>
      <w:szCs w:val="32"/>
      <w:lang w:val="en-US" w:eastAsia="zh-CN" w:bidi="ar"/>
    </w:rPr>
  </w:style>
  <w:style w:type="paragraph" w:customStyle="1" w:styleId="37">
    <w:name w:val="p40"/>
    <w:basedOn w:val="1"/>
    <w:qFormat/>
    <w:uiPriority w:val="0"/>
    <w:pPr>
      <w:ind w:firstLine="179"/>
      <w:jc w:val="center"/>
    </w:pPr>
    <w:rPr>
      <w:rFonts w:hint="default" w:ascii="仿宋_GB2312" w:eastAsia="仿宋_GB2312" w:cs="仿宋_GB2312"/>
      <w:kern w:val="0"/>
      <w:sz w:val="28"/>
      <w:szCs w:val="28"/>
      <w:lang w:val="en-US" w:eastAsia="zh-CN" w:bidi="ar"/>
    </w:rPr>
  </w:style>
  <w:style w:type="paragraph" w:customStyle="1" w:styleId="38">
    <w:name w:val="p411"/>
    <w:basedOn w:val="1"/>
    <w:uiPriority w:val="0"/>
    <w:pPr>
      <w:ind w:firstLine="600"/>
      <w:jc w:val="left"/>
    </w:pPr>
    <w:rPr>
      <w:rFonts w:hint="default" w:ascii="仿宋_GB2312" w:eastAsia="仿宋_GB2312" w:cs="仿宋_GB2312"/>
      <w:kern w:val="0"/>
      <w:sz w:val="32"/>
      <w:szCs w:val="32"/>
      <w:lang w:val="en-US" w:eastAsia="zh-CN" w:bidi="ar"/>
    </w:rPr>
  </w:style>
  <w:style w:type="paragraph" w:customStyle="1" w:styleId="39">
    <w:name w:val="p42"/>
    <w:basedOn w:val="1"/>
    <w:qFormat/>
    <w:uiPriority w:val="0"/>
    <w:pPr>
      <w:ind w:firstLine="757"/>
      <w:jc w:val="left"/>
    </w:pPr>
    <w:rPr>
      <w:rFonts w:hint="default" w:ascii="仿宋_GB2312" w:eastAsia="仿宋_GB2312" w:cs="仿宋_GB2312"/>
      <w:kern w:val="0"/>
      <w:sz w:val="32"/>
      <w:szCs w:val="32"/>
      <w:lang w:val="en-US" w:eastAsia="zh-CN" w:bidi="ar"/>
    </w:rPr>
  </w:style>
  <w:style w:type="paragraph" w:customStyle="1" w:styleId="40">
    <w:name w:val="p43"/>
    <w:basedOn w:val="1"/>
    <w:uiPriority w:val="0"/>
    <w:pPr>
      <w:ind w:left="210" w:firstLine="622"/>
      <w:jc w:val="left"/>
    </w:pPr>
    <w:rPr>
      <w:rFonts w:hint="default" w:ascii="仿宋_GB2312" w:eastAsia="仿宋_GB2312" w:cs="仿宋_GB2312"/>
      <w:kern w:val="0"/>
      <w:sz w:val="32"/>
      <w:szCs w:val="32"/>
      <w:lang w:val="en-US" w:eastAsia="zh-CN" w:bidi="ar"/>
    </w:rPr>
  </w:style>
  <w:style w:type="paragraph" w:customStyle="1" w:styleId="41">
    <w:name w:val="p44"/>
    <w:basedOn w:val="1"/>
    <w:uiPriority w:val="0"/>
    <w:pPr>
      <w:ind w:firstLine="539"/>
      <w:jc w:val="both"/>
    </w:pPr>
    <w:rPr>
      <w:rFonts w:hint="default" w:ascii="仿宋_GB2312" w:eastAsia="仿宋_GB2312" w:cs="仿宋_GB2312"/>
      <w:kern w:val="0"/>
      <w:sz w:val="32"/>
      <w:szCs w:val="32"/>
      <w:lang w:val="en-US" w:eastAsia="zh-CN" w:bidi="ar"/>
    </w:rPr>
  </w:style>
  <w:style w:type="paragraph" w:customStyle="1" w:styleId="42">
    <w:name w:val="p50"/>
    <w:basedOn w:val="1"/>
    <w:qFormat/>
    <w:uiPriority w:val="0"/>
    <w:pPr>
      <w:ind w:firstLine="540"/>
      <w:jc w:val="both"/>
    </w:pPr>
    <w:rPr>
      <w:rFonts w:hint="default" w:ascii="Times New Roman" w:hAnsi="Times New Roman" w:cs="Times New Roman"/>
      <w:kern w:val="0"/>
      <w:sz w:val="32"/>
      <w:szCs w:val="32"/>
      <w:lang w:val="en-US" w:eastAsia="zh-CN" w:bidi="ar"/>
    </w:rPr>
  </w:style>
  <w:style w:type="paragraph" w:customStyle="1" w:styleId="43">
    <w:name w:val="p511"/>
    <w:basedOn w:val="1"/>
    <w:qFormat/>
    <w:uiPriority w:val="0"/>
    <w:pPr>
      <w:ind w:firstLine="622"/>
      <w:jc w:val="both"/>
    </w:pPr>
    <w:rPr>
      <w:rFonts w:hint="default" w:ascii="Times New Roman" w:hAnsi="Times New Roman" w:cs="Times New Roman"/>
      <w:kern w:val="0"/>
      <w:sz w:val="32"/>
      <w:szCs w:val="32"/>
      <w:lang w:val="en-US" w:eastAsia="zh-CN" w:bidi="ar"/>
    </w:rPr>
  </w:style>
  <w:style w:type="paragraph" w:customStyle="1" w:styleId="44">
    <w:name w:val="p52"/>
    <w:basedOn w:val="1"/>
    <w:qFormat/>
    <w:uiPriority w:val="0"/>
    <w:pPr>
      <w:spacing w:after="115" w:afterAutospacing="0"/>
      <w:ind w:left="139" w:hanging="483"/>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45">
    <w:name w:val="p54"/>
    <w:basedOn w:val="1"/>
    <w:qFormat/>
    <w:uiPriority w:val="0"/>
    <w:pPr>
      <w:ind w:firstLine="544"/>
      <w:jc w:val="center"/>
    </w:pPr>
    <w:rPr>
      <w:rFonts w:hint="default" w:ascii="Times New Roman" w:hAnsi="Times New Roman" w:cs="Times New Roman"/>
      <w:kern w:val="0"/>
      <w:sz w:val="28"/>
      <w:szCs w:val="28"/>
      <w:lang w:val="en-US" w:eastAsia="zh-CN" w:bidi="ar"/>
    </w:rPr>
  </w:style>
  <w:style w:type="paragraph" w:customStyle="1" w:styleId="46">
    <w:name w:val="p55"/>
    <w:basedOn w:val="1"/>
    <w:uiPriority w:val="0"/>
    <w:pPr>
      <w:ind w:firstLine="462"/>
      <w:jc w:val="center"/>
    </w:pPr>
    <w:rPr>
      <w:rFonts w:hint="default" w:ascii="Times New Roman" w:hAnsi="Times New Roman" w:cs="Times New Roman"/>
      <w:kern w:val="0"/>
      <w:sz w:val="24"/>
      <w:szCs w:val="24"/>
      <w:lang w:val="en-US" w:eastAsia="zh-CN" w:bidi="ar"/>
    </w:rPr>
  </w:style>
  <w:style w:type="paragraph" w:customStyle="1" w:styleId="47">
    <w:name w:val="p56"/>
    <w:basedOn w:val="1"/>
    <w:uiPriority w:val="0"/>
    <w:pPr>
      <w:ind w:firstLine="462"/>
      <w:jc w:val="both"/>
    </w:pPr>
    <w:rPr>
      <w:rFonts w:hint="eastAsia" w:ascii="宋体" w:hAnsi="宋体" w:eastAsia="宋体" w:cs="宋体"/>
      <w:kern w:val="0"/>
      <w:sz w:val="24"/>
      <w:szCs w:val="24"/>
      <w:lang w:val="en-US" w:eastAsia="zh-CN" w:bidi="ar"/>
    </w:rPr>
  </w:style>
  <w:style w:type="paragraph" w:customStyle="1" w:styleId="48">
    <w:name w:val="p57"/>
    <w:basedOn w:val="1"/>
    <w:qFormat/>
    <w:uiPriority w:val="0"/>
    <w:pPr>
      <w:jc w:val="center"/>
    </w:pPr>
    <w:rPr>
      <w:rFonts w:hint="default" w:ascii="Times New Roman" w:hAnsi="Times New Roman" w:cs="Times New Roman"/>
      <w:kern w:val="0"/>
      <w:sz w:val="24"/>
      <w:szCs w:val="24"/>
      <w:lang w:val="en-US" w:eastAsia="zh-CN" w:bidi="ar"/>
    </w:rPr>
  </w:style>
  <w:style w:type="paragraph" w:customStyle="1" w:styleId="49">
    <w:name w:val="p58"/>
    <w:basedOn w:val="1"/>
    <w:qFormat/>
    <w:uiPriority w:val="0"/>
    <w:pPr>
      <w:spacing w:before="289" w:beforeAutospacing="0"/>
      <w:jc w:val="left"/>
    </w:pPr>
    <w:rPr>
      <w:rFonts w:hint="eastAsia" w:ascii="宋体" w:hAnsi="宋体" w:eastAsia="宋体" w:cs="宋体"/>
      <w:kern w:val="0"/>
      <w:sz w:val="24"/>
      <w:szCs w:val="24"/>
      <w:lang w:val="en-US" w:eastAsia="zh-CN" w:bidi="ar"/>
    </w:rPr>
  </w:style>
  <w:style w:type="paragraph" w:customStyle="1" w:styleId="50">
    <w:name w:val="p59"/>
    <w:basedOn w:val="1"/>
    <w:qFormat/>
    <w:uiPriority w:val="0"/>
    <w:pPr>
      <w:jc w:val="left"/>
    </w:pPr>
    <w:rPr>
      <w:rFonts w:hint="eastAsia" w:ascii="宋体" w:hAnsi="宋体" w:eastAsia="宋体" w:cs="宋体"/>
      <w:kern w:val="0"/>
      <w:sz w:val="24"/>
      <w:szCs w:val="24"/>
      <w:lang w:val="en-US" w:eastAsia="zh-CN" w:bidi="ar"/>
    </w:rPr>
  </w:style>
  <w:style w:type="paragraph" w:customStyle="1" w:styleId="51">
    <w:name w:val="p611"/>
    <w:basedOn w:val="1"/>
    <w:qFormat/>
    <w:uiPriority w:val="0"/>
    <w:pPr>
      <w:ind w:firstLine="480"/>
      <w:jc w:val="both"/>
    </w:pPr>
    <w:rPr>
      <w:rFonts w:hint="eastAsia" w:ascii="宋体" w:hAnsi="宋体" w:eastAsia="宋体" w:cs="宋体"/>
      <w:kern w:val="0"/>
      <w:sz w:val="24"/>
      <w:szCs w:val="24"/>
      <w:lang w:val="en-US" w:eastAsia="zh-CN" w:bidi="ar"/>
    </w:rPr>
  </w:style>
  <w:style w:type="paragraph" w:customStyle="1" w:styleId="52">
    <w:name w:val="p62"/>
    <w:basedOn w:val="1"/>
    <w:qFormat/>
    <w:uiPriority w:val="0"/>
    <w:pPr>
      <w:jc w:val="left"/>
    </w:pPr>
    <w:rPr>
      <w:rFonts w:hint="eastAsia" w:ascii="宋体" w:hAnsi="宋体" w:eastAsia="宋体" w:cs="宋体"/>
      <w:kern w:val="0"/>
      <w:sz w:val="22"/>
      <w:szCs w:val="22"/>
      <w:lang w:val="en-US" w:eastAsia="zh-CN" w:bidi="ar"/>
    </w:rPr>
  </w:style>
  <w:style w:type="paragraph" w:customStyle="1" w:styleId="53">
    <w:name w:val="p64"/>
    <w:basedOn w:val="1"/>
    <w:qFormat/>
    <w:uiPriority w:val="0"/>
    <w:pPr>
      <w:ind w:firstLine="622"/>
      <w:jc w:val="left"/>
    </w:pPr>
    <w:rPr>
      <w:rFonts w:hint="eastAsia" w:ascii="黑体" w:hAnsi="宋体" w:eastAsia="黑体" w:cs="黑体"/>
      <w:kern w:val="0"/>
      <w:sz w:val="32"/>
      <w:szCs w:val="32"/>
      <w:lang w:val="en-US" w:eastAsia="zh-CN" w:bidi="ar"/>
    </w:rPr>
  </w:style>
  <w:style w:type="paragraph" w:customStyle="1" w:styleId="54">
    <w:name w:val="p67"/>
    <w:basedOn w:val="1"/>
    <w:uiPriority w:val="0"/>
    <w:pPr>
      <w:ind w:firstLine="640"/>
      <w:jc w:val="both"/>
    </w:pPr>
    <w:rPr>
      <w:rFonts w:hint="default" w:ascii="仿宋_GB2312" w:eastAsia="仿宋_GB2312" w:cs="仿宋_GB2312"/>
      <w:kern w:val="0"/>
      <w:sz w:val="32"/>
      <w:szCs w:val="32"/>
      <w:lang w:val="en-US" w:eastAsia="zh-CN" w:bidi="ar"/>
    </w:rPr>
  </w:style>
  <w:style w:type="paragraph" w:customStyle="1" w:styleId="55">
    <w:name w:val="p69"/>
    <w:basedOn w:val="1"/>
    <w:uiPriority w:val="0"/>
    <w:pPr>
      <w:ind w:firstLine="480"/>
      <w:jc w:val="center"/>
    </w:pPr>
    <w:rPr>
      <w:rFonts w:hint="eastAsia" w:ascii="宋体" w:hAnsi="宋体" w:eastAsia="宋体" w:cs="宋体"/>
      <w:kern w:val="0"/>
      <w:sz w:val="24"/>
      <w:szCs w:val="24"/>
      <w:lang w:val="en-US" w:eastAsia="zh-CN" w:bidi="ar"/>
    </w:rPr>
  </w:style>
  <w:style w:type="paragraph" w:customStyle="1" w:styleId="56">
    <w:name w:val="p70"/>
    <w:basedOn w:val="1"/>
    <w:qFormat/>
    <w:uiPriority w:val="0"/>
    <w:pPr>
      <w:ind w:firstLine="480"/>
      <w:jc w:val="left"/>
    </w:pPr>
    <w:rPr>
      <w:rFonts w:hint="eastAsia" w:ascii="宋体" w:hAnsi="宋体" w:eastAsia="宋体" w:cs="宋体"/>
      <w:kern w:val="0"/>
      <w:sz w:val="24"/>
      <w:szCs w:val="24"/>
      <w:lang w:val="en-US" w:eastAsia="zh-CN" w:bidi="ar"/>
    </w:rPr>
  </w:style>
  <w:style w:type="paragraph" w:customStyle="1" w:styleId="57">
    <w:name w:val="p721"/>
    <w:basedOn w:val="1"/>
    <w:qFormat/>
    <w:uiPriority w:val="0"/>
    <w:pPr>
      <w:ind w:firstLine="231"/>
      <w:jc w:val="center"/>
    </w:pPr>
    <w:rPr>
      <w:rFonts w:hint="eastAsia" w:ascii="宋体" w:hAnsi="宋体" w:eastAsia="宋体" w:cs="宋体"/>
      <w:kern w:val="0"/>
      <w:sz w:val="24"/>
      <w:szCs w:val="24"/>
      <w:lang w:val="en-US" w:eastAsia="zh-CN" w:bidi="ar"/>
    </w:rPr>
  </w:style>
  <w:style w:type="paragraph" w:customStyle="1" w:styleId="58">
    <w:name w:val="p73"/>
    <w:basedOn w:val="1"/>
    <w:uiPriority w:val="0"/>
    <w:pPr>
      <w:ind w:firstLine="480"/>
      <w:jc w:val="left"/>
    </w:pPr>
    <w:rPr>
      <w:rFonts w:hint="default" w:ascii="仿宋_GB2312" w:eastAsia="仿宋_GB2312" w:cs="仿宋_GB2312"/>
      <w:kern w:val="0"/>
      <w:sz w:val="32"/>
      <w:szCs w:val="32"/>
      <w:lang w:val="en-US" w:eastAsia="zh-CN" w:bidi="ar"/>
    </w:rPr>
  </w:style>
  <w:style w:type="paragraph" w:customStyle="1" w:styleId="59">
    <w:name w:val="p76"/>
    <w:basedOn w:val="1"/>
    <w:uiPriority w:val="0"/>
    <w:pPr>
      <w:ind w:firstLine="346"/>
      <w:jc w:val="center"/>
    </w:pPr>
    <w:rPr>
      <w:rFonts w:hint="eastAsia" w:ascii="宋体" w:hAnsi="宋体" w:eastAsia="宋体" w:cs="宋体"/>
      <w:kern w:val="0"/>
      <w:sz w:val="24"/>
      <w:szCs w:val="24"/>
      <w:lang w:val="en-US" w:eastAsia="zh-CN" w:bidi="ar"/>
    </w:rPr>
  </w:style>
  <w:style w:type="paragraph" w:customStyle="1" w:styleId="60">
    <w:name w:val="p77"/>
    <w:basedOn w:val="1"/>
    <w:uiPriority w:val="0"/>
    <w:pPr>
      <w:spacing w:before="289" w:beforeAutospacing="0"/>
      <w:ind w:firstLine="192"/>
      <w:jc w:val="center"/>
    </w:pPr>
    <w:rPr>
      <w:rFonts w:hint="eastAsia" w:ascii="宋体" w:hAnsi="宋体" w:eastAsia="宋体" w:cs="宋体"/>
      <w:kern w:val="0"/>
      <w:sz w:val="24"/>
      <w:szCs w:val="24"/>
      <w:lang w:val="en-US" w:eastAsia="zh-CN" w:bidi="ar"/>
    </w:rPr>
  </w:style>
  <w:style w:type="paragraph" w:customStyle="1" w:styleId="61">
    <w:name w:val="p78"/>
    <w:basedOn w:val="1"/>
    <w:uiPriority w:val="0"/>
    <w:pPr>
      <w:ind w:firstLine="164"/>
      <w:jc w:val="center"/>
    </w:pPr>
    <w:rPr>
      <w:rFonts w:hint="eastAsia" w:ascii="宋体" w:hAnsi="宋体" w:eastAsia="宋体" w:cs="宋体"/>
      <w:kern w:val="0"/>
      <w:sz w:val="24"/>
      <w:szCs w:val="24"/>
      <w:lang w:val="en-US" w:eastAsia="zh-CN" w:bidi="ar"/>
    </w:rPr>
  </w:style>
  <w:style w:type="paragraph" w:customStyle="1" w:styleId="62">
    <w:name w:val="p80"/>
    <w:basedOn w:val="1"/>
    <w:uiPriority w:val="0"/>
    <w:pPr>
      <w:ind w:firstLine="1848"/>
      <w:jc w:val="both"/>
    </w:pPr>
    <w:rPr>
      <w:rFonts w:hint="eastAsia" w:ascii="宋体" w:hAnsi="宋体" w:eastAsia="宋体" w:cs="宋体"/>
      <w:kern w:val="0"/>
      <w:sz w:val="24"/>
      <w:szCs w:val="24"/>
      <w:lang w:val="en-US" w:eastAsia="zh-CN" w:bidi="ar"/>
    </w:rPr>
  </w:style>
  <w:style w:type="paragraph" w:customStyle="1" w:styleId="63">
    <w:name w:val="p811"/>
    <w:basedOn w:val="1"/>
    <w:uiPriority w:val="0"/>
    <w:pPr>
      <w:spacing w:before="289" w:beforeAutospacing="0"/>
      <w:ind w:firstLine="640"/>
      <w:jc w:val="left"/>
    </w:pPr>
    <w:rPr>
      <w:rFonts w:hint="default" w:ascii="仿宋_GB2312" w:eastAsia="仿宋_GB2312" w:cs="仿宋_GB2312"/>
      <w:kern w:val="0"/>
      <w:sz w:val="32"/>
      <w:szCs w:val="32"/>
      <w:lang w:val="en-US" w:eastAsia="zh-CN" w:bidi="ar"/>
    </w:rPr>
  </w:style>
  <w:style w:type="paragraph" w:customStyle="1" w:styleId="64">
    <w:name w:val="p82"/>
    <w:basedOn w:val="1"/>
    <w:uiPriority w:val="0"/>
    <w:pPr>
      <w:ind w:firstLine="641"/>
      <w:jc w:val="left"/>
    </w:pPr>
    <w:rPr>
      <w:rFonts w:hint="default" w:ascii="楷体_GB2312" w:eastAsia="楷体_GB2312" w:cs="楷体_GB2312"/>
      <w:kern w:val="0"/>
      <w:sz w:val="32"/>
      <w:szCs w:val="32"/>
      <w:lang w:val="en-US" w:eastAsia="zh-CN" w:bidi="ar"/>
    </w:rPr>
  </w:style>
  <w:style w:type="paragraph" w:customStyle="1" w:styleId="65">
    <w:name w:val="p84"/>
    <w:basedOn w:val="1"/>
    <w:uiPriority w:val="0"/>
    <w:pPr>
      <w:jc w:val="left"/>
    </w:pPr>
    <w:rPr>
      <w:rFonts w:hint="eastAsia" w:ascii="黑体" w:hAnsi="宋体" w:eastAsia="黑体" w:cs="黑体"/>
      <w:kern w:val="0"/>
      <w:sz w:val="32"/>
      <w:szCs w:val="32"/>
      <w:lang w:val="en-US" w:eastAsia="zh-CN" w:bidi="ar"/>
    </w:rPr>
  </w:style>
  <w:style w:type="paragraph" w:customStyle="1" w:styleId="66">
    <w:name w:val="p86"/>
    <w:basedOn w:val="1"/>
    <w:uiPriority w:val="0"/>
    <w:pPr>
      <w:ind w:firstLine="640"/>
      <w:jc w:val="both"/>
    </w:pPr>
    <w:rPr>
      <w:rFonts w:hint="default" w:ascii="楷体_GB2312" w:eastAsia="楷体_GB2312" w:cs="楷体_GB2312"/>
      <w:kern w:val="0"/>
      <w:sz w:val="32"/>
      <w:szCs w:val="32"/>
      <w:lang w:val="en-US" w:eastAsia="zh-CN" w:bidi="ar"/>
    </w:rPr>
  </w:style>
  <w:style w:type="paragraph" w:customStyle="1" w:styleId="67">
    <w:name w:val="p87"/>
    <w:basedOn w:val="1"/>
    <w:uiPriority w:val="0"/>
    <w:pPr>
      <w:ind w:firstLine="640"/>
      <w:jc w:val="both"/>
    </w:pPr>
    <w:rPr>
      <w:rFonts w:hint="default" w:ascii="Times New Roman" w:hAnsi="Times New Roman" w:cs="Times New Roman"/>
      <w:kern w:val="0"/>
      <w:sz w:val="28"/>
      <w:szCs w:val="28"/>
      <w:lang w:val="en-US" w:eastAsia="zh-CN" w:bidi="ar"/>
    </w:rPr>
  </w:style>
  <w:style w:type="paragraph" w:customStyle="1" w:styleId="68">
    <w:name w:val="p89"/>
    <w:basedOn w:val="1"/>
    <w:uiPriority w:val="0"/>
    <w:pPr>
      <w:ind w:firstLine="640"/>
      <w:jc w:val="both"/>
    </w:pPr>
    <w:rPr>
      <w:rFonts w:hint="default" w:ascii="Times New Roman" w:hAnsi="Times New Roman" w:cs="Times New Roman"/>
      <w:kern w:val="0"/>
      <w:sz w:val="32"/>
      <w:szCs w:val="32"/>
      <w:lang w:val="en-US" w:eastAsia="zh-CN" w:bidi="ar"/>
    </w:rPr>
  </w:style>
  <w:style w:type="paragraph" w:customStyle="1" w:styleId="69">
    <w:name w:val="p92"/>
    <w:basedOn w:val="1"/>
    <w:uiPriority w:val="0"/>
    <w:pPr>
      <w:ind w:firstLine="641"/>
      <w:jc w:val="both"/>
    </w:pPr>
    <w:rPr>
      <w:rFonts w:hint="eastAsia" w:ascii="黑体" w:hAnsi="宋体" w:eastAsia="黑体" w:cs="黑体"/>
      <w:kern w:val="0"/>
      <w:sz w:val="32"/>
      <w:szCs w:val="32"/>
      <w:lang w:val="en-US" w:eastAsia="zh-CN" w:bidi="ar"/>
    </w:rPr>
  </w:style>
  <w:style w:type="character" w:customStyle="1" w:styleId="70">
    <w:name w:val="s21"/>
    <w:basedOn w:val="4"/>
    <w:uiPriority w:val="0"/>
    <w:rPr>
      <w:color w:val="000000"/>
    </w:rPr>
  </w:style>
  <w:style w:type="character" w:customStyle="1" w:styleId="71">
    <w:name w:val="s61"/>
    <w:basedOn w:val="4"/>
    <w:uiPriority w:val="0"/>
    <w:rPr>
      <w:rFonts w:hint="default" w:ascii="Times New Roman" w:hAnsi="Times New Roman" w:cs="Times New Roman"/>
    </w:rPr>
  </w:style>
  <w:style w:type="character" w:customStyle="1" w:styleId="72">
    <w:name w:val="s71"/>
    <w:basedOn w:val="4"/>
    <w:uiPriority w:val="0"/>
  </w:style>
  <w:style w:type="character" w:customStyle="1" w:styleId="73">
    <w:name w:val="s81"/>
    <w:basedOn w:val="4"/>
    <w:uiPriority w:val="0"/>
    <w:rPr>
      <w:rFonts w:hint="default" w:ascii="仿宋_GB2312" w:eastAsia="仿宋_GB2312" w:cs="仿宋_GB2312"/>
    </w:rPr>
  </w:style>
  <w:style w:type="character" w:customStyle="1" w:styleId="74">
    <w:name w:val="s91"/>
    <w:basedOn w:val="4"/>
    <w:uiPriority w:val="0"/>
    <w:rPr>
      <w:rFonts w:hint="default" w:ascii="仿宋_GB2312" w:eastAsia="仿宋_GB2312" w:cs="仿宋_GB2312"/>
      <w:color w:val="000000"/>
    </w:rPr>
  </w:style>
  <w:style w:type="character" w:customStyle="1" w:styleId="75">
    <w:name w:val="s101"/>
    <w:basedOn w:val="4"/>
    <w:uiPriority w:val="0"/>
    <w:rPr>
      <w:b/>
    </w:rPr>
  </w:style>
  <w:style w:type="character" w:customStyle="1" w:styleId="76">
    <w:name w:val="s31"/>
    <w:basedOn w:val="4"/>
    <w:uiPriority w:val="0"/>
    <w:rPr>
      <w:sz w:val="27"/>
      <w:szCs w:val="27"/>
      <w:vertAlign w:val="superscript"/>
    </w:rPr>
  </w:style>
  <w:style w:type="character" w:customStyle="1" w:styleId="77">
    <w:name w:val="s41"/>
    <w:basedOn w:val="4"/>
    <w:uiPriority w:val="0"/>
    <w:rPr>
      <w:sz w:val="28"/>
      <w:szCs w:val="28"/>
    </w:rPr>
  </w:style>
  <w:style w:type="character" w:customStyle="1" w:styleId="78">
    <w:name w:val="s112"/>
    <w:basedOn w:val="4"/>
    <w:uiPriority w:val="0"/>
    <w:rPr>
      <w:sz w:val="20"/>
      <w:szCs w:val="20"/>
    </w:rPr>
  </w:style>
  <w:style w:type="paragraph" w:customStyle="1" w:styleId="79">
    <w:name w:val="p7"/>
    <w:basedOn w:val="1"/>
    <w:uiPriority w:val="0"/>
    <w:pPr>
      <w:ind w:firstLine="1866"/>
      <w:jc w:val="both"/>
    </w:pPr>
    <w:rPr>
      <w:rFonts w:hint="default" w:ascii="仿宋_GB2312" w:eastAsia="仿宋_GB2312" w:cs="仿宋_GB2312"/>
      <w:kern w:val="0"/>
      <w:sz w:val="32"/>
      <w:szCs w:val="32"/>
      <w:lang w:val="en-US" w:eastAsia="zh-CN" w:bidi="ar"/>
    </w:rPr>
  </w:style>
  <w:style w:type="paragraph" w:customStyle="1" w:styleId="80">
    <w:name w:val="p23"/>
    <w:basedOn w:val="1"/>
    <w:qFormat/>
    <w:uiPriority w:val="0"/>
    <w:pPr>
      <w:ind w:firstLine="382"/>
      <w:jc w:val="left"/>
    </w:pPr>
    <w:rPr>
      <w:rFonts w:ascii="Tahoma" w:hAnsi="Tahoma" w:eastAsia="Tahoma" w:cs="Tahoma"/>
      <w:kern w:val="0"/>
      <w:sz w:val="20"/>
      <w:szCs w:val="20"/>
      <w:lang w:val="en-US" w:eastAsia="zh-CN" w:bidi="ar"/>
    </w:rPr>
  </w:style>
  <w:style w:type="paragraph" w:customStyle="1" w:styleId="81">
    <w:name w:val="p5"/>
    <w:basedOn w:val="1"/>
    <w:uiPriority w:val="0"/>
    <w:pPr>
      <w:ind w:left="839" w:hanging="839"/>
      <w:jc w:val="center"/>
    </w:pPr>
    <w:rPr>
      <w:rFonts w:ascii="方正小标宋简体" w:hAnsi="方正小标宋简体" w:eastAsia="方正小标宋简体" w:cs="方正小标宋简体"/>
      <w:kern w:val="0"/>
      <w:sz w:val="44"/>
      <w:szCs w:val="44"/>
      <w:lang w:val="en-US" w:eastAsia="zh-CN" w:bidi="ar"/>
    </w:rPr>
  </w:style>
  <w:style w:type="paragraph" w:customStyle="1" w:styleId="82">
    <w:name w:val="p8"/>
    <w:basedOn w:val="1"/>
    <w:uiPriority w:val="0"/>
    <w:pPr>
      <w:ind w:firstLine="1555"/>
      <w:jc w:val="both"/>
    </w:pPr>
    <w:rPr>
      <w:rFonts w:hint="default" w:ascii="仿宋_GB2312" w:eastAsia="仿宋_GB2312" w:cs="仿宋_GB2312"/>
      <w:kern w:val="0"/>
      <w:sz w:val="32"/>
      <w:szCs w:val="32"/>
      <w:lang w:val="en-US" w:eastAsia="zh-CN" w:bidi="ar"/>
    </w:rPr>
  </w:style>
  <w:style w:type="paragraph" w:customStyle="1" w:styleId="83">
    <w:name w:val="p3"/>
    <w:basedOn w:val="1"/>
    <w:uiPriority w:val="0"/>
    <w:pPr>
      <w:jc w:val="center"/>
    </w:pPr>
    <w:rPr>
      <w:rFonts w:hint="default" w:ascii="方正小标宋简体" w:hAnsi="方正小标宋简体" w:eastAsia="方正小标宋简体" w:cs="方正小标宋简体"/>
      <w:kern w:val="0"/>
      <w:sz w:val="104"/>
      <w:szCs w:val="104"/>
      <w:lang w:val="en-US" w:eastAsia="zh-CN" w:bidi="ar"/>
    </w:rPr>
  </w:style>
  <w:style w:type="paragraph" w:customStyle="1" w:styleId="84">
    <w:name w:val="p4"/>
    <w:basedOn w:val="1"/>
    <w:uiPriority w:val="0"/>
    <w:pPr>
      <w:jc w:val="center"/>
    </w:pPr>
    <w:rPr>
      <w:rFonts w:hint="default" w:ascii="仿宋_GB2312" w:eastAsia="仿宋_GB2312" w:cs="仿宋_GB2312"/>
      <w:kern w:val="0"/>
      <w:sz w:val="32"/>
      <w:szCs w:val="32"/>
      <w:lang w:val="en-US" w:eastAsia="zh-CN" w:bidi="ar"/>
    </w:rPr>
  </w:style>
  <w:style w:type="paragraph" w:customStyle="1" w:styleId="85">
    <w:name w:val="p20"/>
    <w:basedOn w:val="1"/>
    <w:qFormat/>
    <w:uiPriority w:val="0"/>
    <w:pPr>
      <w:ind w:left="595"/>
      <w:jc w:val="left"/>
    </w:pPr>
    <w:rPr>
      <w:rFonts w:hint="default" w:ascii="仿宋_GB2312" w:eastAsia="仿宋_GB2312" w:cs="仿宋_GB2312"/>
      <w:kern w:val="0"/>
      <w:sz w:val="28"/>
      <w:szCs w:val="28"/>
      <w:lang w:val="en-US" w:eastAsia="zh-CN" w:bidi="ar"/>
    </w:rPr>
  </w:style>
  <w:style w:type="paragraph" w:customStyle="1" w:styleId="86">
    <w:name w:val="p15"/>
    <w:basedOn w:val="1"/>
    <w:uiPriority w:val="0"/>
    <w:pPr>
      <w:ind w:firstLine="862"/>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87">
    <w:name w:val="p211"/>
    <w:basedOn w:val="1"/>
    <w:qFormat/>
    <w:uiPriority w:val="0"/>
    <w:pPr>
      <w:ind w:firstLine="542"/>
      <w:jc w:val="left"/>
    </w:pPr>
    <w:rPr>
      <w:rFonts w:hint="default" w:ascii="仿宋_GB2312" w:eastAsia="仿宋_GB2312" w:cs="仿宋_GB2312"/>
      <w:kern w:val="0"/>
      <w:sz w:val="28"/>
      <w:szCs w:val="28"/>
      <w:lang w:val="en-US" w:eastAsia="zh-CN" w:bidi="ar"/>
    </w:rPr>
  </w:style>
  <w:style w:type="paragraph" w:customStyle="1" w:styleId="88">
    <w:name w:val="p22"/>
    <w:basedOn w:val="1"/>
    <w:qFormat/>
    <w:uiPriority w:val="0"/>
    <w:pPr>
      <w:spacing w:before="240" w:beforeAutospacing="0" w:after="240" w:afterAutospacing="0"/>
      <w:ind w:right="624" w:firstLine="542"/>
      <w:jc w:val="left"/>
    </w:pPr>
    <w:rPr>
      <w:rFonts w:hint="default" w:ascii="仿宋_GB2312" w:eastAsia="仿宋_GB2312" w:cs="仿宋_GB2312"/>
      <w:kern w:val="0"/>
      <w:sz w:val="28"/>
      <w:szCs w:val="28"/>
      <w:lang w:val="en-US" w:eastAsia="zh-CN" w:bidi="ar"/>
    </w:rPr>
  </w:style>
  <w:style w:type="paragraph" w:customStyle="1" w:styleId="89">
    <w:name w:val="p24"/>
    <w:basedOn w:val="1"/>
    <w:qFormat/>
    <w:uiPriority w:val="0"/>
    <w:pPr>
      <w:ind w:firstLine="480"/>
      <w:jc w:val="both"/>
    </w:pPr>
    <w:rPr>
      <w:rFonts w:hint="default" w:ascii="Tahoma" w:hAnsi="Tahoma" w:eastAsia="Tahoma" w:cs="Tahoma"/>
      <w:kern w:val="0"/>
      <w:sz w:val="20"/>
      <w:szCs w:val="20"/>
      <w:lang w:val="en-US" w:eastAsia="zh-CN" w:bidi="ar"/>
    </w:rPr>
  </w:style>
  <w:style w:type="paragraph" w:customStyle="1" w:styleId="90">
    <w:name w:val="p25"/>
    <w:basedOn w:val="1"/>
    <w:qFormat/>
    <w:uiPriority w:val="0"/>
    <w:pPr>
      <w:spacing w:before="240" w:beforeAutospacing="0"/>
      <w:ind w:firstLine="542"/>
      <w:jc w:val="left"/>
    </w:pPr>
    <w:rPr>
      <w:rFonts w:hint="default" w:ascii="仿宋_GB2312" w:eastAsia="仿宋_GB2312" w:cs="仿宋_GB2312"/>
      <w:kern w:val="0"/>
      <w:sz w:val="28"/>
      <w:szCs w:val="28"/>
      <w:lang w:val="en-US" w:eastAsia="zh-CN" w:bidi="ar"/>
    </w:rPr>
  </w:style>
  <w:style w:type="paragraph" w:customStyle="1" w:styleId="91">
    <w:name w:val="p26"/>
    <w:basedOn w:val="1"/>
    <w:uiPriority w:val="0"/>
    <w:pPr>
      <w:ind w:left="201" w:firstLine="606"/>
      <w:jc w:val="left"/>
    </w:pPr>
    <w:rPr>
      <w:rFonts w:hint="default" w:ascii="仿宋_GB2312" w:eastAsia="仿宋_GB2312" w:cs="仿宋_GB2312"/>
      <w:kern w:val="0"/>
      <w:sz w:val="32"/>
      <w:szCs w:val="32"/>
      <w:lang w:val="en-US" w:eastAsia="zh-CN" w:bidi="ar"/>
    </w:rPr>
  </w:style>
  <w:style w:type="paragraph" w:customStyle="1" w:styleId="92">
    <w:name w:val="p711"/>
    <w:basedOn w:val="1"/>
    <w:qFormat/>
    <w:uiPriority w:val="0"/>
    <w:pPr>
      <w:spacing w:before="289" w:beforeAutospacing="0"/>
      <w:ind w:firstLine="924"/>
      <w:jc w:val="center"/>
    </w:pPr>
    <w:rPr>
      <w:rFonts w:hint="eastAsia" w:ascii="宋体" w:hAnsi="宋体" w:eastAsia="宋体" w:cs="宋体"/>
      <w:kern w:val="0"/>
      <w:sz w:val="24"/>
      <w:szCs w:val="24"/>
      <w:lang w:val="en-US" w:eastAsia="zh-CN" w:bidi="ar"/>
    </w:rPr>
  </w:style>
  <w:style w:type="paragraph" w:customStyle="1" w:styleId="93">
    <w:name w:val="p72"/>
    <w:basedOn w:val="1"/>
    <w:uiPriority w:val="0"/>
    <w:pPr>
      <w:ind w:firstLine="231"/>
      <w:jc w:val="center"/>
    </w:pPr>
    <w:rPr>
      <w:rFonts w:hint="eastAsia" w:ascii="宋体" w:hAnsi="宋体" w:eastAsia="宋体" w:cs="宋体"/>
      <w:kern w:val="0"/>
      <w:sz w:val="24"/>
      <w:szCs w:val="24"/>
      <w:lang w:val="en-US" w:eastAsia="zh-CN" w:bidi="ar"/>
    </w:rPr>
  </w:style>
  <w:style w:type="paragraph" w:customStyle="1" w:styleId="94">
    <w:name w:val="_Style 93"/>
    <w:basedOn w:val="1"/>
    <w:next w:val="1"/>
    <w:uiPriority w:val="0"/>
    <w:pPr>
      <w:pBdr>
        <w:bottom w:val="single" w:color="auto" w:sz="6" w:space="1"/>
      </w:pBdr>
      <w:jc w:val="center"/>
    </w:pPr>
    <w:rPr>
      <w:rFonts w:ascii="Arial" w:eastAsia="宋体"/>
      <w:vanish/>
      <w:sz w:val="16"/>
    </w:rPr>
  </w:style>
  <w:style w:type="paragraph" w:customStyle="1" w:styleId="95">
    <w:name w:val="_Style 94"/>
    <w:basedOn w:val="1"/>
    <w:next w:val="1"/>
    <w:qFormat/>
    <w:uiPriority w:val="0"/>
    <w:pPr>
      <w:pBdr>
        <w:top w:val="single" w:color="auto" w:sz="6" w:space="1"/>
      </w:pBdr>
      <w:jc w:val="center"/>
    </w:pPr>
    <w:rPr>
      <w:rFonts w:ascii="Arial" w:eastAsia="宋体"/>
      <w:vanish/>
      <w:sz w:val="16"/>
    </w:rPr>
  </w:style>
  <w:style w:type="character" w:customStyle="1" w:styleId="96">
    <w:name w:val="s51"/>
    <w:basedOn w:val="4"/>
    <w:qFormat/>
    <w:uiPriority w:val="0"/>
    <w:rPr>
      <w:rFonts w:hint="default" w:ascii="仿宋_GB2312" w:eastAsia="仿宋_GB2312" w:cs="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2017-03-28T05:22:00Z</dcterms:created>
  <dc:creator>WuKeping</dc:creator>
  <cp:lastModifiedBy>lenovo</cp:lastModifiedBy>
  <dcterms:modified xsi:type="dcterms:W3CDTF">2017-06-08T06:22:11Z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