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600" w:lineRule="exact"/>
        <w:ind w:right="-67" w:rightChars="-32"/>
        <w:jc w:val="center"/>
        <w:rPr>
          <w:rFonts w:ascii="方正小标宋简体" w:eastAsia="方正小标宋简体"/>
          <w:color w:val="000000"/>
          <w:sz w:val="36"/>
          <w:szCs w:val="36"/>
        </w:rPr>
      </w:pPr>
      <w:r>
        <w:rPr>
          <w:rFonts w:hint="eastAsia" w:ascii="方正小标宋简体" w:eastAsia="方正小标宋简体"/>
          <w:color w:val="000000"/>
          <w:sz w:val="36"/>
          <w:szCs w:val="36"/>
        </w:rPr>
        <w:t>中央监护软件注册技术审查</w:t>
      </w:r>
    </w:p>
    <w:p>
      <w:pPr>
        <w:spacing w:line="600" w:lineRule="exact"/>
        <w:ind w:right="-67" w:rightChars="-32"/>
        <w:jc w:val="center"/>
        <w:rPr>
          <w:rFonts w:ascii="黑体" w:hAnsi="黑体" w:eastAsia="黑体"/>
          <w:color w:val="000000"/>
          <w:sz w:val="32"/>
          <w:szCs w:val="32"/>
        </w:rPr>
      </w:pPr>
      <w:r>
        <w:rPr>
          <w:rFonts w:hint="eastAsia" w:ascii="方正小标宋简体" w:eastAsia="方正小标宋简体"/>
          <w:color w:val="000000"/>
          <w:sz w:val="36"/>
          <w:szCs w:val="36"/>
        </w:rPr>
        <w:t>指导原则(征求意见稿）</w:t>
      </w: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520" w:lineRule="exact"/>
        <w:ind w:right="-67" w:rightChars="-32"/>
        <w:rPr>
          <w:rFonts w:ascii="黑体" w:hAnsi="黑体" w:eastAsia="黑体"/>
          <w:color w:val="000000"/>
          <w:sz w:val="32"/>
          <w:szCs w:val="32"/>
        </w:rPr>
      </w:pPr>
    </w:p>
    <w:p>
      <w:pPr>
        <w:spacing w:line="600" w:lineRule="exact"/>
        <w:ind w:right="-67" w:rightChars="-32"/>
        <w:jc w:val="center"/>
        <w:rPr>
          <w:rFonts w:eastAsia="黑体"/>
          <w:color w:val="000000"/>
          <w:sz w:val="32"/>
          <w:szCs w:val="32"/>
        </w:rPr>
      </w:pPr>
    </w:p>
    <w:p>
      <w:pPr>
        <w:spacing w:line="600" w:lineRule="exact"/>
        <w:ind w:right="-67" w:rightChars="-32"/>
        <w:jc w:val="center"/>
        <w:rPr>
          <w:rFonts w:ascii="方正小标宋简体" w:eastAsia="方正小标宋简体"/>
          <w:color w:val="000000"/>
          <w:sz w:val="44"/>
          <w:szCs w:val="44"/>
        </w:rPr>
      </w:pPr>
      <w:r>
        <w:rPr>
          <w:rFonts w:hint="eastAsia" w:ascii="方正小标宋简体" w:eastAsia="方正小标宋简体"/>
          <w:color w:val="000000"/>
          <w:sz w:val="36"/>
          <w:szCs w:val="36"/>
        </w:rPr>
        <w:t>中央监护软件注册技术审查指导原则</w:t>
      </w:r>
    </w:p>
    <w:p>
      <w:pPr>
        <w:spacing w:line="500" w:lineRule="exact"/>
        <w:ind w:right="-67" w:rightChars="-32"/>
        <w:rPr>
          <w:rFonts w:eastAsia="黑体"/>
          <w:color w:val="000000"/>
          <w:sz w:val="32"/>
          <w:szCs w:val="32"/>
        </w:rPr>
      </w:pPr>
    </w:p>
    <w:p>
      <w:pPr>
        <w:spacing w:line="500" w:lineRule="exact"/>
        <w:ind w:firstLine="640" w:firstLineChars="200"/>
        <w:rPr>
          <w:rFonts w:eastAsia="仿宋_GB2312"/>
          <w:kern w:val="0"/>
          <w:sz w:val="32"/>
          <w:szCs w:val="32"/>
        </w:rPr>
      </w:pPr>
      <w:r>
        <w:rPr>
          <w:rFonts w:eastAsia="仿宋_GB2312"/>
          <w:kern w:val="0"/>
          <w:sz w:val="32"/>
          <w:szCs w:val="32"/>
        </w:rPr>
        <w:t>本指导原则旨在指导注册申请人对</w:t>
      </w:r>
      <w:r>
        <w:rPr>
          <w:rFonts w:hint="eastAsia" w:eastAsia="仿宋_GB2312"/>
          <w:kern w:val="0"/>
          <w:sz w:val="32"/>
          <w:szCs w:val="32"/>
        </w:rPr>
        <w:t>中央监护软件</w:t>
      </w:r>
      <w:r>
        <w:rPr>
          <w:rFonts w:eastAsia="仿宋_GB2312"/>
          <w:kern w:val="0"/>
          <w:sz w:val="32"/>
          <w:szCs w:val="32"/>
        </w:rPr>
        <w:t>注册申报资料的准备及撰写，同时也为技术审评部门审评注册申报资料提供参考。</w:t>
      </w:r>
    </w:p>
    <w:p>
      <w:pPr>
        <w:spacing w:line="500" w:lineRule="exact"/>
        <w:ind w:firstLine="640" w:firstLineChars="200"/>
        <w:rPr>
          <w:rFonts w:eastAsia="仿宋_GB2312"/>
          <w:kern w:val="0"/>
          <w:sz w:val="32"/>
          <w:szCs w:val="32"/>
        </w:rPr>
      </w:pPr>
      <w:r>
        <w:rPr>
          <w:rFonts w:eastAsia="仿宋_GB2312"/>
          <w:kern w:val="0"/>
          <w:sz w:val="32"/>
          <w:szCs w:val="32"/>
        </w:rPr>
        <w:t>本指导原则是对</w:t>
      </w:r>
      <w:r>
        <w:rPr>
          <w:rFonts w:hint="eastAsia" w:eastAsia="仿宋_GB2312"/>
          <w:kern w:val="0"/>
          <w:sz w:val="32"/>
          <w:szCs w:val="32"/>
        </w:rPr>
        <w:t>中央监护软件</w:t>
      </w:r>
      <w:r>
        <w:rPr>
          <w:rFonts w:eastAsia="仿宋_GB2312"/>
          <w:kern w:val="0"/>
          <w:sz w:val="32"/>
          <w:szCs w:val="32"/>
        </w:rPr>
        <w:t>的</w:t>
      </w:r>
      <w:r>
        <w:rPr>
          <w:rFonts w:hint="eastAsia" w:eastAsia="仿宋_GB2312"/>
          <w:kern w:val="0"/>
          <w:sz w:val="32"/>
          <w:szCs w:val="32"/>
        </w:rPr>
        <w:t>一般性要求，申请人应根据申报产品的特性提交注册申报资料，判断指导原则中的具体内容是否适用，不适用内容应详述理由。申请人也可采用其他满足法规要求的替代方法，但应提供详尽的研究资料和验证资料。</w:t>
      </w:r>
    </w:p>
    <w:p>
      <w:pPr>
        <w:spacing w:line="500" w:lineRule="exact"/>
        <w:ind w:firstLine="640" w:firstLineChars="200"/>
        <w:rPr>
          <w:rFonts w:eastAsia="仿宋_GB2312"/>
          <w:kern w:val="0"/>
          <w:sz w:val="32"/>
          <w:szCs w:val="32"/>
        </w:rPr>
      </w:pPr>
      <w:r>
        <w:rPr>
          <w:rFonts w:hint="eastAsia" w:eastAsia="仿宋_GB2312"/>
          <w:kern w:val="0"/>
          <w:sz w:val="32"/>
          <w:szCs w:val="32"/>
        </w:rPr>
        <w:t xml:space="preserve"> 本指导原则是在现行法规和标准体系以及当前认知水平下、并参考了国外法规与指南、国际标准与技术报告制定的。随着法规和标准的不断完善，以及认知水平和技术能力的不断提高，相关内容也将适时进行修订。</w:t>
      </w:r>
    </w:p>
    <w:p>
      <w:pPr>
        <w:spacing w:line="500" w:lineRule="exact"/>
        <w:ind w:firstLine="640" w:firstLineChars="200"/>
        <w:rPr>
          <w:rFonts w:eastAsia="仿宋_GB2312"/>
          <w:kern w:val="0"/>
          <w:sz w:val="32"/>
          <w:szCs w:val="32"/>
        </w:rPr>
      </w:pPr>
      <w:r>
        <w:rPr>
          <w:rFonts w:hint="eastAsia" w:eastAsia="仿宋_GB2312"/>
          <w:kern w:val="0"/>
          <w:sz w:val="32"/>
          <w:szCs w:val="32"/>
        </w:rPr>
        <w:t>本指导原则是对申请人和审查人员的指导性文件，不包括审评、审批所涉及的行政事项，亦不作为法规强制执行，应在遵循相关法规的前提下使用本指导原则。</w:t>
      </w: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pStyle w:val="8"/>
        <w:tabs>
          <w:tab w:val="right" w:leader="dot" w:pos="8844"/>
        </w:tabs>
        <w:rPr>
          <w:sz w:val="30"/>
          <w:szCs w:val="30"/>
        </w:rPr>
      </w:pPr>
      <w:r>
        <w:rPr>
          <w:rFonts w:eastAsia="黑体"/>
          <w:sz w:val="30"/>
          <w:szCs w:val="30"/>
        </w:rPr>
        <w:fldChar w:fldCharType="begin"/>
      </w:r>
      <w:r>
        <w:rPr>
          <w:rFonts w:eastAsia="黑体"/>
          <w:sz w:val="30"/>
          <w:szCs w:val="30"/>
        </w:rPr>
        <w:instrText xml:space="preserve">TOC \o "1-4" \h \u </w:instrText>
      </w:r>
      <w:r>
        <w:rPr>
          <w:rFonts w:eastAsia="黑体"/>
          <w:sz w:val="30"/>
          <w:szCs w:val="30"/>
        </w:rPr>
        <w:fldChar w:fldCharType="separate"/>
      </w:r>
      <w:r>
        <w:fldChar w:fldCharType="begin"/>
      </w:r>
      <w:r>
        <w:instrText xml:space="preserve"> HYPERLINK \l "_Toc3066" </w:instrText>
      </w:r>
      <w:r>
        <w:fldChar w:fldCharType="separate"/>
      </w:r>
      <w:r>
        <w:rPr>
          <w:rFonts w:eastAsia="黑体"/>
          <w:sz w:val="30"/>
          <w:szCs w:val="30"/>
        </w:rPr>
        <w:t>一、适用范围</w:t>
      </w:r>
      <w:r>
        <w:rPr>
          <w:sz w:val="30"/>
          <w:szCs w:val="30"/>
        </w:rPr>
        <w:tab/>
      </w:r>
      <w:r>
        <w:rPr>
          <w:sz w:val="30"/>
          <w:szCs w:val="30"/>
        </w:rPr>
        <w:fldChar w:fldCharType="begin"/>
      </w:r>
      <w:r>
        <w:rPr>
          <w:sz w:val="30"/>
          <w:szCs w:val="30"/>
        </w:rPr>
        <w:instrText xml:space="preserve"> PAGEREF _Toc3066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8"/>
        <w:tabs>
          <w:tab w:val="right" w:leader="dot" w:pos="8844"/>
        </w:tabs>
        <w:rPr>
          <w:sz w:val="30"/>
          <w:szCs w:val="30"/>
        </w:rPr>
      </w:pPr>
      <w:r>
        <w:fldChar w:fldCharType="begin"/>
      </w:r>
      <w:r>
        <w:instrText xml:space="preserve"> HYPERLINK \l "_Toc27332" </w:instrText>
      </w:r>
      <w:r>
        <w:fldChar w:fldCharType="separate"/>
      </w:r>
      <w:r>
        <w:rPr>
          <w:rFonts w:eastAsia="黑体"/>
          <w:sz w:val="30"/>
          <w:szCs w:val="30"/>
        </w:rPr>
        <w:t>二、技术审查要点</w:t>
      </w:r>
      <w:r>
        <w:rPr>
          <w:sz w:val="30"/>
          <w:szCs w:val="30"/>
        </w:rPr>
        <w:tab/>
      </w:r>
      <w:r>
        <w:rPr>
          <w:sz w:val="30"/>
          <w:szCs w:val="30"/>
        </w:rPr>
        <w:fldChar w:fldCharType="begin"/>
      </w:r>
      <w:r>
        <w:rPr>
          <w:sz w:val="30"/>
          <w:szCs w:val="30"/>
        </w:rPr>
        <w:instrText xml:space="preserve"> PAGEREF _Toc27332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"_Toc25259" </w:instrText>
      </w:r>
      <w:r>
        <w:fldChar w:fldCharType="separate"/>
      </w:r>
      <w:r>
        <w:rPr>
          <w:rFonts w:eastAsia="楷体_GB2312"/>
          <w:sz w:val="30"/>
          <w:szCs w:val="30"/>
        </w:rPr>
        <w:t>（一）产品名称的要求</w:t>
      </w:r>
      <w:r>
        <w:rPr>
          <w:sz w:val="30"/>
          <w:szCs w:val="30"/>
        </w:rPr>
        <w:tab/>
      </w:r>
      <w:r>
        <w:rPr>
          <w:sz w:val="30"/>
          <w:szCs w:val="30"/>
        </w:rPr>
        <w:fldChar w:fldCharType="begin"/>
      </w:r>
      <w:r>
        <w:rPr>
          <w:sz w:val="30"/>
          <w:szCs w:val="30"/>
        </w:rPr>
        <w:instrText xml:space="preserve"> PAGEREF _Toc25259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"_Toc26710" </w:instrText>
      </w:r>
      <w:r>
        <w:fldChar w:fldCharType="separate"/>
      </w:r>
      <w:r>
        <w:rPr>
          <w:rFonts w:eastAsia="楷体_GB2312"/>
          <w:sz w:val="30"/>
          <w:szCs w:val="30"/>
        </w:rPr>
        <w:t>（二）产品的结构和组成</w:t>
      </w:r>
      <w:r>
        <w:rPr>
          <w:sz w:val="30"/>
          <w:szCs w:val="30"/>
        </w:rPr>
        <w:tab/>
      </w:r>
      <w:r>
        <w:rPr>
          <w:sz w:val="30"/>
          <w:szCs w:val="30"/>
        </w:rPr>
        <w:fldChar w:fldCharType="begin"/>
      </w:r>
      <w:r>
        <w:rPr>
          <w:sz w:val="30"/>
          <w:szCs w:val="30"/>
        </w:rPr>
        <w:instrText xml:space="preserve"> PAGEREF _Toc26710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"_Toc20639" </w:instrText>
      </w:r>
      <w:r>
        <w:fldChar w:fldCharType="separate"/>
      </w:r>
      <w:r>
        <w:rPr>
          <w:rFonts w:eastAsia="楷体_GB2312"/>
          <w:sz w:val="30"/>
          <w:szCs w:val="30"/>
        </w:rPr>
        <w:t>（三）</w:t>
      </w:r>
      <w:r>
        <w:rPr>
          <w:rFonts w:eastAsia="楷体_GB2312"/>
          <w:color w:val="FF0000"/>
          <w:sz w:val="30"/>
          <w:szCs w:val="30"/>
        </w:rPr>
        <w:t xml:space="preserve"> </w:t>
      </w:r>
      <w:r>
        <w:rPr>
          <w:rFonts w:eastAsia="楷体_GB2312"/>
          <w:sz w:val="30"/>
          <w:szCs w:val="30"/>
        </w:rPr>
        <w:t>产品工作原理</w:t>
      </w:r>
      <w:r>
        <w:rPr>
          <w:sz w:val="30"/>
          <w:szCs w:val="30"/>
        </w:rPr>
        <w:tab/>
      </w:r>
      <w:r>
        <w:rPr>
          <w:sz w:val="30"/>
          <w:szCs w:val="30"/>
        </w:rPr>
        <w:fldChar w:fldCharType="begin"/>
      </w:r>
      <w:r>
        <w:rPr>
          <w:sz w:val="30"/>
          <w:szCs w:val="30"/>
        </w:rPr>
        <w:instrText xml:space="preserve"> PAGEREF _Toc20639 </w:instrText>
      </w:r>
      <w:r>
        <w:rPr>
          <w:sz w:val="30"/>
          <w:szCs w:val="30"/>
        </w:rPr>
        <w:fldChar w:fldCharType="separate"/>
      </w:r>
      <w:r>
        <w:rPr>
          <w:sz w:val="30"/>
          <w:szCs w:val="30"/>
        </w:rPr>
        <w:t>5</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"_Toc10132" </w:instrText>
      </w:r>
      <w:r>
        <w:fldChar w:fldCharType="separate"/>
      </w:r>
      <w:r>
        <w:rPr>
          <w:rFonts w:eastAsia="楷体_GB2312"/>
          <w:sz w:val="30"/>
          <w:szCs w:val="30"/>
        </w:rPr>
        <w:t>（四） 注册单元划分的原则</w:t>
      </w:r>
      <w:r>
        <w:rPr>
          <w:sz w:val="30"/>
          <w:szCs w:val="30"/>
        </w:rPr>
        <w:tab/>
      </w:r>
      <w:r>
        <w:rPr>
          <w:sz w:val="30"/>
          <w:szCs w:val="30"/>
        </w:rPr>
        <w:fldChar w:fldCharType="begin"/>
      </w:r>
      <w:r>
        <w:rPr>
          <w:sz w:val="30"/>
          <w:szCs w:val="30"/>
        </w:rPr>
        <w:instrText xml:space="preserve"> PAGEREF _Toc10132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"_Toc16440" </w:instrText>
      </w:r>
      <w:r>
        <w:fldChar w:fldCharType="separate"/>
      </w:r>
      <w:r>
        <w:rPr>
          <w:rFonts w:hint="eastAsia" w:eastAsia="楷体_GB2312"/>
          <w:sz w:val="30"/>
          <w:szCs w:val="30"/>
        </w:rPr>
        <w:t>（五）产品适用的相关标准</w:t>
      </w:r>
      <w:r>
        <w:rPr>
          <w:sz w:val="30"/>
          <w:szCs w:val="30"/>
        </w:rPr>
        <w:tab/>
      </w:r>
      <w:r>
        <w:rPr>
          <w:sz w:val="30"/>
          <w:szCs w:val="30"/>
        </w:rPr>
        <w:fldChar w:fldCharType="begin"/>
      </w:r>
      <w:r>
        <w:rPr>
          <w:sz w:val="30"/>
          <w:szCs w:val="30"/>
        </w:rPr>
        <w:instrText xml:space="preserve"> PAGEREF _Toc16440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"_Toc30447" </w:instrText>
      </w:r>
      <w:r>
        <w:fldChar w:fldCharType="separate"/>
      </w:r>
      <w:r>
        <w:rPr>
          <w:rFonts w:hint="eastAsia" w:eastAsia="楷体_GB2312"/>
          <w:sz w:val="30"/>
          <w:szCs w:val="30"/>
        </w:rPr>
        <w:t>（六）产品的适用范围/预期用途</w:t>
      </w:r>
      <w:r>
        <w:rPr>
          <w:sz w:val="30"/>
          <w:szCs w:val="30"/>
        </w:rPr>
        <w:tab/>
      </w:r>
      <w:r>
        <w:rPr>
          <w:sz w:val="30"/>
          <w:szCs w:val="30"/>
        </w:rPr>
        <w:fldChar w:fldCharType="begin"/>
      </w:r>
      <w:r>
        <w:rPr>
          <w:sz w:val="30"/>
          <w:szCs w:val="30"/>
        </w:rPr>
        <w:instrText xml:space="preserve"> PAGEREF _Toc30447 </w:instrText>
      </w:r>
      <w:r>
        <w:rPr>
          <w:sz w:val="30"/>
          <w:szCs w:val="30"/>
        </w:rPr>
        <w:fldChar w:fldCharType="separate"/>
      </w:r>
      <w:r>
        <w:rPr>
          <w:sz w:val="30"/>
          <w:szCs w:val="30"/>
        </w:rPr>
        <w:t>10</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"_Toc1362" </w:instrText>
      </w:r>
      <w:r>
        <w:fldChar w:fldCharType="separate"/>
      </w:r>
      <w:r>
        <w:rPr>
          <w:rFonts w:eastAsia="楷体_GB2312"/>
          <w:sz w:val="30"/>
          <w:szCs w:val="30"/>
        </w:rPr>
        <w:t>（七）</w:t>
      </w:r>
      <w:r>
        <w:rPr>
          <w:rFonts w:hint="eastAsia" w:eastAsia="楷体_GB2312"/>
          <w:sz w:val="30"/>
          <w:szCs w:val="30"/>
        </w:rPr>
        <w:t>产品的主要风险</w:t>
      </w:r>
      <w:r>
        <w:rPr>
          <w:sz w:val="30"/>
          <w:szCs w:val="30"/>
        </w:rPr>
        <w:tab/>
      </w:r>
      <w:r>
        <w:rPr>
          <w:sz w:val="30"/>
          <w:szCs w:val="30"/>
        </w:rPr>
        <w:fldChar w:fldCharType="begin"/>
      </w:r>
      <w:r>
        <w:rPr>
          <w:sz w:val="30"/>
          <w:szCs w:val="30"/>
        </w:rPr>
        <w:instrText xml:space="preserve"> PAGEREF _Toc1362 </w:instrText>
      </w:r>
      <w:r>
        <w:rPr>
          <w:sz w:val="30"/>
          <w:szCs w:val="30"/>
        </w:rPr>
        <w:fldChar w:fldCharType="separate"/>
      </w:r>
      <w:r>
        <w:rPr>
          <w:sz w:val="30"/>
          <w:szCs w:val="30"/>
        </w:rPr>
        <w:t>10</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"_Toc25919" </w:instrText>
      </w:r>
      <w:r>
        <w:fldChar w:fldCharType="separate"/>
      </w:r>
      <w:r>
        <w:rPr>
          <w:rFonts w:eastAsia="楷体_GB2312"/>
          <w:sz w:val="30"/>
          <w:szCs w:val="30"/>
        </w:rPr>
        <w:t>（八）</w:t>
      </w:r>
      <w:r>
        <w:rPr>
          <w:rFonts w:hint="eastAsia" w:eastAsia="楷体_GB2312"/>
          <w:sz w:val="30"/>
          <w:szCs w:val="30"/>
        </w:rPr>
        <w:t>产品技术要求应包括的主要性能指标</w:t>
      </w:r>
      <w:r>
        <w:rPr>
          <w:sz w:val="30"/>
          <w:szCs w:val="30"/>
        </w:rPr>
        <w:tab/>
      </w:r>
      <w:r>
        <w:rPr>
          <w:sz w:val="30"/>
          <w:szCs w:val="30"/>
        </w:rPr>
        <w:fldChar w:fldCharType="begin"/>
      </w:r>
      <w:r>
        <w:rPr>
          <w:sz w:val="30"/>
          <w:szCs w:val="30"/>
        </w:rPr>
        <w:instrText xml:space="preserve"> PAGEREF _Toc25919 </w:instrText>
      </w:r>
      <w:r>
        <w:rPr>
          <w:sz w:val="30"/>
          <w:szCs w:val="30"/>
        </w:rPr>
        <w:fldChar w:fldCharType="separate"/>
      </w:r>
      <w:r>
        <w:rPr>
          <w:sz w:val="30"/>
          <w:szCs w:val="30"/>
        </w:rPr>
        <w:t>12</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"_Toc31786" </w:instrText>
      </w:r>
      <w:r>
        <w:fldChar w:fldCharType="separate"/>
      </w:r>
      <w:r>
        <w:rPr>
          <w:rFonts w:eastAsia="楷体_GB2312"/>
          <w:sz w:val="30"/>
          <w:szCs w:val="30"/>
        </w:rPr>
        <w:t>（九）</w:t>
      </w:r>
      <w:r>
        <w:rPr>
          <w:rFonts w:hint="eastAsia" w:eastAsia="楷体_GB2312"/>
          <w:sz w:val="30"/>
          <w:szCs w:val="30"/>
        </w:rPr>
        <w:t>同一注册单元内注册检验代表产品确定原则和实例</w:t>
      </w:r>
      <w:r>
        <w:rPr>
          <w:sz w:val="30"/>
          <w:szCs w:val="30"/>
        </w:rPr>
        <w:tab/>
      </w:r>
      <w:r>
        <w:rPr>
          <w:sz w:val="30"/>
          <w:szCs w:val="30"/>
        </w:rPr>
        <w:fldChar w:fldCharType="begin"/>
      </w:r>
      <w:r>
        <w:rPr>
          <w:sz w:val="30"/>
          <w:szCs w:val="30"/>
        </w:rPr>
        <w:instrText xml:space="preserve"> PAGEREF _Toc31786 </w:instrText>
      </w:r>
      <w:r>
        <w:rPr>
          <w:sz w:val="30"/>
          <w:szCs w:val="30"/>
        </w:rPr>
        <w:fldChar w:fldCharType="separate"/>
      </w:r>
      <w:r>
        <w:rPr>
          <w:sz w:val="30"/>
          <w:szCs w:val="30"/>
        </w:rPr>
        <w:t>13</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"_Toc19336" </w:instrText>
      </w:r>
      <w:r>
        <w:fldChar w:fldCharType="separate"/>
      </w:r>
      <w:r>
        <w:rPr>
          <w:rFonts w:eastAsia="楷体_GB2312"/>
          <w:sz w:val="30"/>
          <w:szCs w:val="30"/>
        </w:rPr>
        <w:t>（十） 产品生产制造相关要求</w:t>
      </w:r>
      <w:r>
        <w:rPr>
          <w:sz w:val="30"/>
          <w:szCs w:val="30"/>
        </w:rPr>
        <w:tab/>
      </w:r>
      <w:r>
        <w:rPr>
          <w:sz w:val="30"/>
          <w:szCs w:val="30"/>
        </w:rPr>
        <w:fldChar w:fldCharType="begin"/>
      </w:r>
      <w:r>
        <w:rPr>
          <w:sz w:val="30"/>
          <w:szCs w:val="30"/>
        </w:rPr>
        <w:instrText xml:space="preserve"> PAGEREF _Toc19336 </w:instrText>
      </w:r>
      <w:r>
        <w:rPr>
          <w:sz w:val="30"/>
          <w:szCs w:val="30"/>
        </w:rPr>
        <w:fldChar w:fldCharType="separate"/>
      </w:r>
      <w:r>
        <w:rPr>
          <w:sz w:val="30"/>
          <w:szCs w:val="30"/>
        </w:rPr>
        <w:t>14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"_Toc14464" </w:instrText>
      </w:r>
      <w:r>
        <w:fldChar w:fldCharType="separate"/>
      </w:r>
      <w:r>
        <w:rPr>
          <w:rFonts w:eastAsia="楷体_GB2312"/>
          <w:sz w:val="30"/>
          <w:szCs w:val="30"/>
        </w:rPr>
        <w:t>（十一）产品的临床评价细化要求</w:t>
      </w:r>
      <w:r>
        <w:rPr>
          <w:sz w:val="30"/>
          <w:szCs w:val="30"/>
        </w:rPr>
        <w:tab/>
      </w:r>
      <w:r>
        <w:rPr>
          <w:sz w:val="30"/>
          <w:szCs w:val="30"/>
        </w:rPr>
        <w:fldChar w:fldCharType="begin"/>
      </w:r>
      <w:r>
        <w:rPr>
          <w:sz w:val="30"/>
          <w:szCs w:val="30"/>
        </w:rPr>
        <w:instrText xml:space="preserve"> PAGEREF _Toc14464 </w:instrText>
      </w:r>
      <w:r>
        <w:rPr>
          <w:sz w:val="30"/>
          <w:szCs w:val="30"/>
        </w:rPr>
        <w:fldChar w:fldCharType="separate"/>
      </w:r>
      <w:r>
        <w:rPr>
          <w:sz w:val="30"/>
          <w:szCs w:val="30"/>
        </w:rPr>
        <w:t>14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"_Toc23057" </w:instrText>
      </w:r>
      <w:r>
        <w:fldChar w:fldCharType="separate"/>
      </w:r>
      <w:r>
        <w:rPr>
          <w:rFonts w:eastAsia="楷体_GB2312"/>
          <w:sz w:val="30"/>
          <w:szCs w:val="30"/>
        </w:rPr>
        <w:t>（十二）</w:t>
      </w:r>
      <w:r>
        <w:rPr>
          <w:rFonts w:eastAsia="楷体_GB2312"/>
          <w:color w:val="FF0000"/>
          <w:sz w:val="30"/>
          <w:szCs w:val="30"/>
        </w:rPr>
        <w:t xml:space="preserve"> </w:t>
      </w:r>
      <w:r>
        <w:rPr>
          <w:rFonts w:eastAsia="楷体_GB2312"/>
          <w:sz w:val="30"/>
          <w:szCs w:val="30"/>
        </w:rPr>
        <w:t>产品的不良事件历史记录</w:t>
      </w:r>
      <w:r>
        <w:rPr>
          <w:sz w:val="30"/>
          <w:szCs w:val="30"/>
        </w:rPr>
        <w:tab/>
      </w:r>
      <w:r>
        <w:rPr>
          <w:sz w:val="30"/>
          <w:szCs w:val="30"/>
        </w:rPr>
        <w:fldChar w:fldCharType="begin"/>
      </w:r>
      <w:r>
        <w:rPr>
          <w:sz w:val="30"/>
          <w:szCs w:val="30"/>
        </w:rPr>
        <w:instrText xml:space="preserve"> PAGEREF _Toc23057 </w:instrText>
      </w:r>
      <w:r>
        <w:rPr>
          <w:sz w:val="30"/>
          <w:szCs w:val="30"/>
        </w:rPr>
        <w:fldChar w:fldCharType="separate"/>
      </w:r>
      <w:r>
        <w:rPr>
          <w:sz w:val="30"/>
          <w:szCs w:val="30"/>
        </w:rPr>
        <w:t>14</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"_Toc3812" </w:instrText>
      </w:r>
      <w:r>
        <w:fldChar w:fldCharType="separate"/>
      </w:r>
      <w:r>
        <w:rPr>
          <w:rFonts w:eastAsia="楷体_GB2312"/>
          <w:sz w:val="30"/>
          <w:szCs w:val="30"/>
        </w:rPr>
        <w:t>（十三）产品说明书和标签要求</w:t>
      </w:r>
      <w:r>
        <w:rPr>
          <w:sz w:val="30"/>
          <w:szCs w:val="30"/>
        </w:rPr>
        <w:tab/>
      </w:r>
      <w:r>
        <w:rPr>
          <w:sz w:val="30"/>
          <w:szCs w:val="30"/>
        </w:rPr>
        <w:fldChar w:fldCharType="begin"/>
      </w:r>
      <w:r>
        <w:rPr>
          <w:sz w:val="30"/>
          <w:szCs w:val="30"/>
        </w:rPr>
        <w:instrText xml:space="preserve"> PAGEREF _Toc3812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9"/>
        <w:tabs>
          <w:tab w:val="right" w:leader="dot" w:pos="8844"/>
        </w:tabs>
        <w:rPr>
          <w:sz w:val="30"/>
          <w:szCs w:val="30"/>
        </w:rPr>
      </w:pPr>
      <w:r>
        <w:fldChar w:fldCharType="begin"/>
      </w:r>
      <w:r>
        <w:instrText xml:space="preserve"> HYPERLINK \l "_Toc27396" </w:instrText>
      </w:r>
      <w:r>
        <w:fldChar w:fldCharType="separate"/>
      </w:r>
      <w:r>
        <w:rPr>
          <w:rFonts w:eastAsia="楷体_GB2312"/>
          <w:sz w:val="30"/>
          <w:szCs w:val="30"/>
        </w:rPr>
        <w:t>（十四）产品研究及其他要求</w:t>
      </w:r>
      <w:r>
        <w:rPr>
          <w:sz w:val="30"/>
          <w:szCs w:val="30"/>
        </w:rPr>
        <w:tab/>
      </w:r>
      <w:r>
        <w:rPr>
          <w:sz w:val="30"/>
          <w:szCs w:val="30"/>
        </w:rPr>
        <w:fldChar w:fldCharType="begin"/>
      </w:r>
      <w:r>
        <w:rPr>
          <w:sz w:val="30"/>
          <w:szCs w:val="30"/>
        </w:rPr>
        <w:instrText xml:space="preserve"> PAGEREF _Toc27396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8"/>
        <w:tabs>
          <w:tab w:val="right" w:leader="dot" w:pos="8844"/>
        </w:tabs>
        <w:rPr>
          <w:sz w:val="30"/>
          <w:szCs w:val="30"/>
        </w:rPr>
      </w:pPr>
      <w:r>
        <w:fldChar w:fldCharType="begin"/>
      </w:r>
      <w:r>
        <w:instrText xml:space="preserve"> HYPERLINK \l "_Toc20813" </w:instrText>
      </w:r>
      <w:r>
        <w:fldChar w:fldCharType="separate"/>
      </w:r>
      <w:r>
        <w:rPr>
          <w:rFonts w:eastAsia="黑体"/>
          <w:sz w:val="30"/>
          <w:szCs w:val="30"/>
        </w:rPr>
        <w:t>三、审查关注点</w:t>
      </w:r>
      <w:r>
        <w:rPr>
          <w:sz w:val="30"/>
          <w:szCs w:val="30"/>
        </w:rPr>
        <w:tab/>
      </w:r>
      <w:r>
        <w:rPr>
          <w:sz w:val="30"/>
          <w:szCs w:val="30"/>
        </w:rPr>
        <w:fldChar w:fldCharType="begin"/>
      </w:r>
      <w:r>
        <w:rPr>
          <w:sz w:val="30"/>
          <w:szCs w:val="30"/>
        </w:rPr>
        <w:instrText xml:space="preserve"> PAGEREF _Toc20813 </w:instrText>
      </w:r>
      <w:r>
        <w:rPr>
          <w:sz w:val="30"/>
          <w:szCs w:val="30"/>
        </w:rPr>
        <w:fldChar w:fldCharType="separate"/>
      </w:r>
      <w:r>
        <w:rPr>
          <w:sz w:val="30"/>
          <w:szCs w:val="30"/>
        </w:rPr>
        <w:t>15</w:t>
      </w:r>
      <w:r>
        <w:rPr>
          <w:sz w:val="30"/>
          <w:szCs w:val="30"/>
        </w:rPr>
        <w:fldChar w:fldCharType="end"/>
      </w:r>
      <w:r>
        <w:rPr>
          <w:sz w:val="30"/>
          <w:szCs w:val="30"/>
        </w:rPr>
        <w:fldChar w:fldCharType="end"/>
      </w:r>
    </w:p>
    <w:p>
      <w:pPr>
        <w:pStyle w:val="8"/>
        <w:tabs>
          <w:tab w:val="right" w:leader="dot" w:pos="8844"/>
        </w:tabs>
        <w:rPr>
          <w:sz w:val="30"/>
          <w:szCs w:val="30"/>
        </w:rPr>
      </w:pPr>
      <w:r>
        <w:fldChar w:fldCharType="begin"/>
      </w:r>
      <w:r>
        <w:instrText xml:space="preserve"> HYPERLINK \l "_Toc12073" </w:instrText>
      </w:r>
      <w:r>
        <w:fldChar w:fldCharType="separate"/>
      </w:r>
      <w:r>
        <w:rPr>
          <w:rFonts w:hint="eastAsia" w:eastAsia="黑体"/>
          <w:sz w:val="30"/>
          <w:szCs w:val="30"/>
        </w:rPr>
        <w:t>四、参考文献</w:t>
      </w:r>
      <w:r>
        <w:rPr>
          <w:sz w:val="30"/>
          <w:szCs w:val="30"/>
        </w:rPr>
        <w:tab/>
      </w:r>
      <w:r>
        <w:rPr>
          <w:sz w:val="30"/>
          <w:szCs w:val="30"/>
        </w:rPr>
        <w:fldChar w:fldCharType="begin"/>
      </w:r>
      <w:r>
        <w:rPr>
          <w:sz w:val="30"/>
          <w:szCs w:val="30"/>
        </w:rPr>
        <w:instrText xml:space="preserve"> PAGEREF _Toc12073 </w:instrText>
      </w:r>
      <w:r>
        <w:rPr>
          <w:sz w:val="30"/>
          <w:szCs w:val="30"/>
        </w:rPr>
        <w:fldChar w:fldCharType="separate"/>
      </w:r>
      <w:r>
        <w:rPr>
          <w:sz w:val="30"/>
          <w:szCs w:val="30"/>
        </w:rPr>
        <w:t>16</w:t>
      </w:r>
      <w:r>
        <w:rPr>
          <w:sz w:val="30"/>
          <w:szCs w:val="30"/>
        </w:rPr>
        <w:fldChar w:fldCharType="end"/>
      </w:r>
      <w:r>
        <w:rPr>
          <w:sz w:val="30"/>
          <w:szCs w:val="30"/>
        </w:rPr>
        <w:fldChar w:fldCharType="end"/>
      </w:r>
    </w:p>
    <w:p>
      <w:pPr>
        <w:spacing w:line="500" w:lineRule="exact"/>
        <w:outlineLvl w:val="3"/>
        <w:rPr>
          <w:rFonts w:eastAsia="黑体"/>
          <w:sz w:val="30"/>
          <w:szCs w:val="30"/>
        </w:rPr>
      </w:pPr>
      <w:r>
        <w:rPr>
          <w:rFonts w:eastAsia="黑体"/>
          <w:sz w:val="30"/>
          <w:szCs w:val="30"/>
        </w:rPr>
        <w:fldChar w:fldCharType="end"/>
      </w: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00" w:lineRule="exact"/>
        <w:ind w:firstLine="640" w:firstLineChars="200"/>
        <w:rPr>
          <w:rFonts w:eastAsia="黑体"/>
          <w:sz w:val="32"/>
          <w:szCs w:val="32"/>
        </w:rPr>
      </w:pPr>
    </w:p>
    <w:p>
      <w:pPr>
        <w:spacing w:line="520" w:lineRule="exact"/>
        <w:ind w:right="-67" w:rightChars="-32" w:firstLine="640" w:firstLineChars="200"/>
        <w:outlineLvl w:val="0"/>
        <w:rPr>
          <w:rFonts w:eastAsia="黑体"/>
          <w:sz w:val="32"/>
          <w:szCs w:val="32"/>
        </w:rPr>
      </w:pPr>
      <w:bookmarkStart w:id="0" w:name="_Toc3066"/>
      <w:bookmarkStart w:id="1" w:name="_Toc1955"/>
      <w:r>
        <w:rPr>
          <w:rFonts w:eastAsia="黑体"/>
          <w:sz w:val="32"/>
          <w:szCs w:val="32"/>
        </w:rPr>
        <w:t>一、适用范围</w:t>
      </w:r>
      <w:bookmarkEnd w:id="0"/>
      <w:bookmarkEnd w:id="1"/>
    </w:p>
    <w:p>
      <w:pPr>
        <w:spacing w:line="500" w:lineRule="exact"/>
        <w:ind w:firstLine="560" w:firstLineChars="200"/>
        <w:rPr>
          <w:rFonts w:eastAsia="仿宋_GB2312"/>
          <w:sz w:val="28"/>
          <w:szCs w:val="28"/>
        </w:rPr>
      </w:pPr>
      <w:r>
        <w:rPr>
          <w:rFonts w:eastAsia="仿宋_GB2312"/>
          <w:sz w:val="28"/>
          <w:szCs w:val="28"/>
        </w:rPr>
        <w:t>本指导原则适用于第二类</w:t>
      </w:r>
      <w:r>
        <w:rPr>
          <w:rFonts w:hint="eastAsia" w:eastAsia="仿宋_GB2312"/>
          <w:sz w:val="28"/>
          <w:szCs w:val="28"/>
        </w:rPr>
        <w:t>中央监护软件</w:t>
      </w:r>
      <w:r>
        <w:rPr>
          <w:rFonts w:eastAsia="仿宋_GB2312"/>
          <w:sz w:val="28"/>
          <w:szCs w:val="28"/>
        </w:rPr>
        <w:t>，即</w:t>
      </w:r>
      <w:r>
        <w:rPr>
          <w:rFonts w:hint="eastAsia" w:eastAsia="仿宋_GB2312"/>
          <w:sz w:val="28"/>
          <w:szCs w:val="28"/>
        </w:rPr>
        <w:t>在接收一个或多个床边监护设备的数据后能集中显示和监护</w:t>
      </w:r>
      <w:r>
        <w:rPr>
          <w:rFonts w:eastAsia="仿宋_GB2312"/>
          <w:sz w:val="28"/>
          <w:szCs w:val="28"/>
        </w:rPr>
        <w:t>的</w:t>
      </w:r>
      <w:r>
        <w:rPr>
          <w:rFonts w:hint="eastAsia" w:eastAsia="仿宋_GB2312"/>
          <w:sz w:val="28"/>
          <w:szCs w:val="28"/>
        </w:rPr>
        <w:t>独立</w:t>
      </w:r>
      <w:r>
        <w:rPr>
          <w:rFonts w:eastAsia="仿宋_GB2312"/>
          <w:sz w:val="28"/>
          <w:szCs w:val="28"/>
        </w:rPr>
        <w:t>软件。</w:t>
      </w:r>
    </w:p>
    <w:p>
      <w:pPr>
        <w:spacing w:line="500" w:lineRule="exact"/>
        <w:ind w:firstLine="560" w:firstLineChars="200"/>
        <w:rPr>
          <w:rFonts w:eastAsia="仿宋_GB2312"/>
          <w:sz w:val="28"/>
          <w:szCs w:val="28"/>
        </w:rPr>
      </w:pPr>
      <w:r>
        <w:rPr>
          <w:rFonts w:hint="eastAsia" w:eastAsia="仿宋_GB2312"/>
          <w:sz w:val="28"/>
          <w:szCs w:val="28"/>
        </w:rPr>
        <w:t>中央监护软件是将采集的被监护者的就诊信息、生理参数与波形曲线图像、音频以及报警等数据通过通信网络实时传送到监护中心，用于动态实时跟踪病态发展，以保障及时处置的软件。中央监护软件其管理类别为Ⅱ类，分类编码为6870</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本指导原则不适用于采用</w:t>
      </w:r>
      <w:r>
        <w:rPr>
          <w:rFonts w:hint="eastAsia" w:eastAsia="仿宋_GB2312"/>
          <w:sz w:val="28"/>
          <w:szCs w:val="28"/>
        </w:rPr>
        <w:t>计算机辅助诊断</w:t>
      </w:r>
      <w:r>
        <w:rPr>
          <w:rFonts w:eastAsia="仿宋_GB2312"/>
          <w:sz w:val="28"/>
          <w:szCs w:val="28"/>
        </w:rPr>
        <w:t>类功能的软件</w:t>
      </w:r>
      <w:r>
        <w:rPr>
          <w:rFonts w:hint="eastAsia" w:eastAsia="仿宋_GB2312"/>
          <w:sz w:val="28"/>
          <w:szCs w:val="28"/>
        </w:rPr>
        <w:t>（如具有ST段分析等功能）</w:t>
      </w:r>
      <w:r>
        <w:rPr>
          <w:rFonts w:eastAsia="仿宋_GB2312"/>
          <w:sz w:val="28"/>
          <w:szCs w:val="28"/>
        </w:rPr>
        <w:t>。</w:t>
      </w:r>
    </w:p>
    <w:p>
      <w:pPr>
        <w:spacing w:line="520" w:lineRule="exact"/>
        <w:ind w:right="-67" w:rightChars="-32" w:firstLine="640" w:firstLineChars="200"/>
        <w:outlineLvl w:val="0"/>
        <w:rPr>
          <w:rFonts w:eastAsia="黑体"/>
          <w:sz w:val="32"/>
          <w:szCs w:val="32"/>
        </w:rPr>
      </w:pPr>
      <w:bookmarkStart w:id="2" w:name="_Toc27332"/>
      <w:bookmarkStart w:id="3" w:name="_Toc28402"/>
      <w:r>
        <w:rPr>
          <w:rFonts w:eastAsia="黑体"/>
          <w:sz w:val="32"/>
          <w:szCs w:val="32"/>
        </w:rPr>
        <w:t>二、技术审查要点</w:t>
      </w:r>
      <w:bookmarkEnd w:id="2"/>
      <w:bookmarkEnd w:id="3"/>
    </w:p>
    <w:p>
      <w:pPr>
        <w:spacing w:line="500" w:lineRule="exact"/>
        <w:ind w:right="-67" w:rightChars="-32" w:firstLine="600" w:firstLineChars="200"/>
        <w:outlineLvl w:val="1"/>
        <w:rPr>
          <w:rFonts w:eastAsia="楷体_GB2312"/>
          <w:sz w:val="30"/>
          <w:szCs w:val="30"/>
        </w:rPr>
      </w:pPr>
      <w:bookmarkStart w:id="4" w:name="_Toc25259"/>
      <w:r>
        <w:rPr>
          <w:rFonts w:eastAsia="楷体_GB2312"/>
          <w:sz w:val="30"/>
          <w:szCs w:val="30"/>
        </w:rPr>
        <w:t>（一）产品名称的要求</w:t>
      </w:r>
      <w:bookmarkEnd w:id="4"/>
    </w:p>
    <w:p>
      <w:pPr>
        <w:spacing w:line="500" w:lineRule="exact"/>
        <w:ind w:firstLine="560" w:firstLineChars="200"/>
        <w:rPr>
          <w:rFonts w:eastAsia="仿宋_GB2312"/>
          <w:sz w:val="28"/>
          <w:szCs w:val="28"/>
        </w:rPr>
      </w:pPr>
      <w:r>
        <w:rPr>
          <w:rFonts w:eastAsia="仿宋_GB2312"/>
          <w:sz w:val="28"/>
          <w:szCs w:val="28"/>
        </w:rPr>
        <w:t>产品的名称应为通用名称，并符合《</w:t>
      </w:r>
      <w:r>
        <w:rPr>
          <w:rFonts w:hint="eastAsia" w:eastAsia="仿宋_GB2312"/>
          <w:sz w:val="28"/>
          <w:szCs w:val="28"/>
        </w:rPr>
        <w:t>医疗器械通用名称命名规则</w:t>
      </w:r>
      <w:r>
        <w:rPr>
          <w:rFonts w:eastAsia="仿宋_GB2312"/>
          <w:sz w:val="28"/>
          <w:szCs w:val="28"/>
        </w:rPr>
        <w:t>》、《医疗器械分类目录》、</w:t>
      </w:r>
      <w:r>
        <w:rPr>
          <w:rFonts w:hint="eastAsia" w:eastAsia="仿宋_GB2312"/>
          <w:sz w:val="28"/>
          <w:szCs w:val="28"/>
        </w:rPr>
        <w:t>《免于进行临床试验的第二类医疗器械目录》、</w:t>
      </w:r>
      <w:r>
        <w:rPr>
          <w:rFonts w:eastAsia="仿宋_GB2312"/>
          <w:sz w:val="28"/>
          <w:szCs w:val="28"/>
        </w:rPr>
        <w:t>标准等相关法规、规范性文件的要求。如：</w:t>
      </w:r>
      <w:r>
        <w:rPr>
          <w:rFonts w:hint="eastAsia" w:eastAsia="仿宋_GB2312"/>
          <w:sz w:val="28"/>
          <w:szCs w:val="28"/>
        </w:rPr>
        <w:t>中央监护软件</w:t>
      </w:r>
      <w:r>
        <w:rPr>
          <w:rFonts w:eastAsia="仿宋_GB2312"/>
          <w:sz w:val="28"/>
          <w:szCs w:val="28"/>
        </w:rPr>
        <w:t>。</w:t>
      </w:r>
    </w:p>
    <w:p>
      <w:pPr>
        <w:spacing w:line="500" w:lineRule="exact"/>
        <w:ind w:right="-67" w:rightChars="-32" w:firstLine="640" w:firstLineChars="200"/>
        <w:outlineLvl w:val="1"/>
        <w:rPr>
          <w:rFonts w:eastAsia="楷体_GB2312"/>
          <w:color w:val="FF0000"/>
          <w:sz w:val="32"/>
          <w:szCs w:val="32"/>
        </w:rPr>
      </w:pPr>
      <w:bookmarkStart w:id="5" w:name="_Toc26710"/>
      <w:r>
        <w:rPr>
          <w:rFonts w:eastAsia="楷体_GB2312"/>
          <w:sz w:val="32"/>
          <w:szCs w:val="32"/>
        </w:rPr>
        <w:t>（二）</w:t>
      </w:r>
      <w:r>
        <w:rPr>
          <w:rFonts w:eastAsia="楷体_GB2312"/>
          <w:sz w:val="30"/>
          <w:szCs w:val="30"/>
        </w:rPr>
        <w:t>产品的结构和组成</w:t>
      </w:r>
      <w:bookmarkEnd w:id="5"/>
    </w:p>
    <w:p>
      <w:pPr>
        <w:spacing w:line="500" w:lineRule="exact"/>
        <w:ind w:firstLine="560" w:firstLineChars="200"/>
        <w:rPr>
          <w:rFonts w:eastAsia="仿宋_GB2312"/>
          <w:sz w:val="28"/>
          <w:szCs w:val="28"/>
        </w:rPr>
      </w:pPr>
      <w:r>
        <w:rPr>
          <w:rFonts w:eastAsia="仿宋_GB2312"/>
          <w:sz w:val="28"/>
          <w:szCs w:val="28"/>
        </w:rPr>
        <w:t>注册申请人应在综述资料中明确产品结构和产品组成。</w:t>
      </w:r>
    </w:p>
    <w:p>
      <w:pPr>
        <w:spacing w:line="500" w:lineRule="exact"/>
        <w:ind w:firstLine="560" w:firstLineChars="200"/>
        <w:rPr>
          <w:rFonts w:eastAsia="仿宋_GB2312"/>
          <w:color w:val="FF0000"/>
          <w:sz w:val="28"/>
          <w:szCs w:val="28"/>
        </w:rPr>
      </w:pPr>
      <w:r>
        <w:rPr>
          <w:rFonts w:eastAsia="仿宋_GB2312"/>
          <w:sz w:val="28"/>
          <w:szCs w:val="28"/>
        </w:rPr>
        <w:t>产品结构应明确</w:t>
      </w:r>
      <w:r>
        <w:rPr>
          <w:rFonts w:hint="eastAsia" w:eastAsia="仿宋_GB2312"/>
          <w:sz w:val="28"/>
          <w:szCs w:val="28"/>
        </w:rPr>
        <w:t>中央监护软件</w:t>
      </w:r>
      <w:r>
        <w:rPr>
          <w:rFonts w:eastAsia="仿宋_GB2312"/>
          <w:sz w:val="28"/>
          <w:szCs w:val="28"/>
        </w:rPr>
        <w:t>的产品架构和产品规模，其中产品架构应描述</w:t>
      </w:r>
      <w:r>
        <w:rPr>
          <w:rFonts w:hint="eastAsia" w:eastAsia="仿宋_GB2312"/>
          <w:sz w:val="28"/>
          <w:szCs w:val="28"/>
        </w:rPr>
        <w:t>中央监护软件</w:t>
      </w:r>
      <w:r>
        <w:rPr>
          <w:rFonts w:eastAsia="仿宋_GB2312"/>
          <w:sz w:val="28"/>
          <w:szCs w:val="28"/>
        </w:rPr>
        <w:t>的技术架构，如单机（客户端）</w:t>
      </w:r>
      <w:r>
        <w:rPr>
          <w:rFonts w:hint="eastAsia" w:eastAsia="仿宋_GB2312"/>
          <w:sz w:val="28"/>
          <w:szCs w:val="28"/>
        </w:rPr>
        <w:t>或</w:t>
      </w:r>
      <w:r>
        <w:rPr>
          <w:rFonts w:eastAsia="仿宋_GB2312"/>
          <w:sz w:val="28"/>
          <w:szCs w:val="28"/>
        </w:rPr>
        <w:t>CS架构</w:t>
      </w:r>
      <w:r>
        <w:rPr>
          <w:rFonts w:hint="eastAsia" w:eastAsia="仿宋_GB2312"/>
          <w:sz w:val="28"/>
          <w:szCs w:val="28"/>
        </w:rPr>
        <w:t>；</w:t>
      </w:r>
      <w:r>
        <w:rPr>
          <w:rFonts w:eastAsia="仿宋_GB2312"/>
          <w:color w:val="FF0000"/>
          <w:sz w:val="28"/>
          <w:szCs w:val="28"/>
        </w:rPr>
        <w:t xml:space="preserve"> </w:t>
      </w:r>
    </w:p>
    <w:p>
      <w:pPr>
        <w:spacing w:line="500" w:lineRule="exact"/>
        <w:ind w:firstLine="560" w:firstLineChars="200"/>
        <w:rPr>
          <w:rFonts w:eastAsia="仿宋_GB2312"/>
          <w:sz w:val="28"/>
          <w:szCs w:val="28"/>
        </w:rPr>
      </w:pPr>
      <w:r>
        <w:rPr>
          <w:rFonts w:eastAsia="仿宋_GB2312"/>
          <w:sz w:val="28"/>
          <w:szCs w:val="28"/>
        </w:rPr>
        <w:t>产品组成应明确</w:t>
      </w:r>
      <w:r>
        <w:rPr>
          <w:rFonts w:hint="eastAsia" w:eastAsia="仿宋_GB2312"/>
          <w:sz w:val="28"/>
          <w:szCs w:val="28"/>
        </w:rPr>
        <w:t>中央监护软件</w:t>
      </w:r>
      <w:r>
        <w:rPr>
          <w:rFonts w:eastAsia="仿宋_GB2312"/>
          <w:sz w:val="28"/>
          <w:szCs w:val="28"/>
        </w:rPr>
        <w:t>的物理组成和逻辑组成，其中物理组成应描述交付方式，如光盘、U盘等；逻辑组成应描述临床功能模块，包括服务器（如适用）和客户端，如适用注明选装和模块版本。</w:t>
      </w:r>
    </w:p>
    <w:p>
      <w:pPr>
        <w:numPr>
          <w:ilvl w:val="0"/>
          <w:numId w:val="1"/>
        </w:numPr>
        <w:spacing w:line="500" w:lineRule="exact"/>
        <w:ind w:right="-67" w:rightChars="-32" w:firstLine="600" w:firstLineChars="200"/>
        <w:outlineLvl w:val="1"/>
        <w:rPr>
          <w:rFonts w:eastAsia="楷体_GB2312"/>
          <w:sz w:val="30"/>
          <w:szCs w:val="30"/>
        </w:rPr>
      </w:pPr>
      <w:bookmarkStart w:id="6" w:name="_Toc20639"/>
      <w:r>
        <w:rPr>
          <w:rFonts w:eastAsia="楷体_GB2312"/>
          <w:sz w:val="30"/>
          <w:szCs w:val="30"/>
        </w:rPr>
        <w:t>产品工作原理</w:t>
      </w:r>
      <w:bookmarkEnd w:id="6"/>
    </w:p>
    <w:p>
      <w:pPr>
        <w:spacing w:line="500" w:lineRule="exact"/>
        <w:ind w:firstLine="560" w:firstLineChars="200"/>
        <w:rPr>
          <w:rFonts w:eastAsia="仿宋_GB2312"/>
          <w:sz w:val="28"/>
          <w:szCs w:val="28"/>
        </w:rPr>
      </w:pPr>
      <w:r>
        <w:rPr>
          <w:rFonts w:eastAsia="仿宋_GB2312"/>
          <w:sz w:val="28"/>
          <w:szCs w:val="28"/>
        </w:rPr>
        <w:t>注册申请人应在综述资料中明确产品工作原理，包括逻辑结构和物理结构。</w:t>
      </w:r>
      <w:r>
        <w:rPr>
          <w:rFonts w:hint="eastAsia" w:eastAsia="仿宋_GB2312"/>
          <w:sz w:val="28"/>
          <w:szCs w:val="28"/>
        </w:rPr>
        <w:t>结构示意图中根据需要可预留接口，如：关键操作员功能模块、维修功能模块、实用程序模块等。</w:t>
      </w:r>
    </w:p>
    <w:p>
      <w:pPr>
        <w:spacing w:line="50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 xml:space="preserve"> </w:t>
      </w:r>
      <w:r>
        <w:rPr>
          <w:rFonts w:eastAsia="仿宋_GB2312"/>
          <w:sz w:val="28"/>
          <w:szCs w:val="28"/>
        </w:rPr>
        <w:t>逻辑结构</w:t>
      </w:r>
    </w:p>
    <w:p>
      <w:pPr>
        <w:spacing w:line="500" w:lineRule="exact"/>
        <w:ind w:firstLine="560" w:firstLineChars="200"/>
        <w:rPr>
          <w:rFonts w:eastAsia="仿宋_GB2312"/>
          <w:sz w:val="28"/>
          <w:szCs w:val="28"/>
        </w:rPr>
      </w:pPr>
      <w:r>
        <w:rPr>
          <w:rFonts w:eastAsia="仿宋_GB2312"/>
          <w:sz w:val="28"/>
          <w:szCs w:val="28"/>
        </w:rPr>
        <w:t>逻辑结构应描述产品的体系结构，可以按照功能模块或组成模块进行描述，也可采用其他方式进行描述，提供示意图并依据示意图进行描述。</w:t>
      </w:r>
    </w:p>
    <w:p>
      <w:pPr>
        <w:spacing w:line="500" w:lineRule="exact"/>
        <w:ind w:firstLine="560" w:firstLineChars="200"/>
        <w:rPr>
          <w:rFonts w:eastAsia="仿宋_GB2312"/>
          <w:sz w:val="28"/>
          <w:szCs w:val="28"/>
        </w:rPr>
      </w:pPr>
      <w:r>
        <w:rPr>
          <w:rFonts w:eastAsia="仿宋_GB2312"/>
          <w:sz w:val="28"/>
          <w:szCs w:val="28"/>
        </w:rPr>
        <w:t>如，结构示意图及相应描述示例如下（图一）：</w:t>
      </w:r>
    </w:p>
    <w:p>
      <w:pPr>
        <w:ind w:right="-67" w:rightChars="-32" w:firstLine="420" w:firstLineChars="200"/>
        <w:jc w:val="center"/>
        <w:rPr>
          <w:rFonts w:eastAsia="楷体_GB2312"/>
          <w:sz w:val="32"/>
          <w:szCs w:val="32"/>
        </w:rPr>
      </w:pPr>
      <w:r>
        <w:object>
          <v:shape id="_x0000_i1025" o:spt="75" type="#_x0000_t75" style="height:227pt;width:444.5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r>
        <w:rPr>
          <w:rFonts w:eastAsia="楷体_GB2312"/>
          <w:sz w:val="32"/>
          <w:szCs w:val="32"/>
        </w:rPr>
        <w:t>图</w:t>
      </w:r>
      <w:r>
        <w:rPr>
          <w:rFonts w:hint="eastAsia" w:eastAsia="楷体_GB2312"/>
          <w:sz w:val="32"/>
          <w:szCs w:val="32"/>
        </w:rPr>
        <w:t>1</w:t>
      </w:r>
      <w:r>
        <w:rPr>
          <w:rFonts w:eastAsia="楷体_GB2312"/>
          <w:sz w:val="32"/>
          <w:szCs w:val="32"/>
        </w:rPr>
        <w:t xml:space="preserve"> 结构示意图</w:t>
      </w:r>
    </w:p>
    <w:p>
      <w:pPr>
        <w:spacing w:line="500" w:lineRule="exact"/>
        <w:ind w:firstLine="560" w:firstLineChars="200"/>
        <w:rPr>
          <w:rFonts w:eastAsia="仿宋_GB2312"/>
          <w:sz w:val="28"/>
          <w:szCs w:val="28"/>
        </w:rPr>
      </w:pPr>
    </w:p>
    <w:p>
      <w:pPr>
        <w:spacing w:line="500" w:lineRule="exact"/>
        <w:ind w:firstLine="560" w:firstLineChars="200"/>
        <w:rPr>
          <w:rFonts w:eastAsia="仿宋_GB2312"/>
          <w:sz w:val="28"/>
          <w:szCs w:val="28"/>
        </w:rPr>
      </w:pPr>
      <w:r>
        <w:rPr>
          <w:rFonts w:hint="eastAsia" w:eastAsia="仿宋_GB2312"/>
          <w:sz w:val="28"/>
          <w:szCs w:val="28"/>
        </w:rPr>
        <w:t>中央监护软件</w:t>
      </w:r>
      <w:r>
        <w:rPr>
          <w:rFonts w:eastAsia="仿宋_GB2312"/>
          <w:sz w:val="28"/>
          <w:szCs w:val="28"/>
        </w:rPr>
        <w:t>由“中央监护服务软件</w:t>
      </w:r>
      <w:r>
        <w:rPr>
          <w:rFonts w:hint="eastAsia" w:eastAsia="仿宋_GB2312"/>
          <w:sz w:val="28"/>
          <w:szCs w:val="28"/>
        </w:rPr>
        <w:t>、</w:t>
      </w:r>
      <w:r>
        <w:rPr>
          <w:rFonts w:eastAsia="仿宋_GB2312"/>
          <w:sz w:val="28"/>
          <w:szCs w:val="28"/>
        </w:rPr>
        <w:t>中央监护工作站软件</w:t>
      </w:r>
      <w:r>
        <w:rPr>
          <w:rFonts w:hint="eastAsia" w:eastAsia="仿宋_GB2312"/>
          <w:sz w:val="28"/>
          <w:szCs w:val="28"/>
        </w:rPr>
        <w:t>、</w:t>
      </w:r>
      <w:r>
        <w:rPr>
          <w:rFonts w:eastAsia="仿宋_GB2312"/>
          <w:sz w:val="28"/>
          <w:szCs w:val="28"/>
        </w:rPr>
        <w:t>中央监护管理软件”组成：</w:t>
      </w:r>
    </w:p>
    <w:p>
      <w:pPr>
        <w:spacing w:line="500" w:lineRule="exact"/>
        <w:ind w:firstLine="560" w:firstLineChars="200"/>
        <w:rPr>
          <w:rFonts w:eastAsia="仿宋_GB2312"/>
          <w:sz w:val="28"/>
          <w:szCs w:val="28"/>
        </w:rPr>
      </w:pPr>
      <w:r>
        <w:rPr>
          <w:rFonts w:eastAsia="仿宋_GB2312"/>
          <w:sz w:val="28"/>
          <w:szCs w:val="28"/>
        </w:rPr>
        <w:t>（1）中央监护服务软件</w:t>
      </w:r>
    </w:p>
    <w:p>
      <w:pPr>
        <w:spacing w:line="500" w:lineRule="exact"/>
        <w:ind w:firstLine="560" w:firstLineChars="200"/>
        <w:rPr>
          <w:rFonts w:eastAsia="仿宋_GB2312"/>
          <w:sz w:val="28"/>
          <w:szCs w:val="28"/>
        </w:rPr>
      </w:pPr>
      <w:r>
        <w:rPr>
          <w:rFonts w:eastAsia="仿宋_GB2312"/>
          <w:sz w:val="28"/>
          <w:szCs w:val="28"/>
        </w:rPr>
        <w:t>a)数据采集服务</w:t>
      </w:r>
      <w:r>
        <w:rPr>
          <w:rFonts w:hint="eastAsia" w:eastAsia="仿宋_GB2312"/>
          <w:sz w:val="28"/>
          <w:szCs w:val="28"/>
        </w:rPr>
        <w:t>，</w:t>
      </w:r>
      <w:r>
        <w:rPr>
          <w:rFonts w:eastAsia="仿宋_GB2312"/>
          <w:sz w:val="28"/>
          <w:szCs w:val="28"/>
        </w:rPr>
        <w:t>能够</w:t>
      </w:r>
      <w:r>
        <w:rPr>
          <w:rFonts w:hint="eastAsia" w:eastAsia="仿宋_GB2312"/>
          <w:sz w:val="28"/>
          <w:szCs w:val="28"/>
        </w:rPr>
        <w:t>通过监护仪厂家提供的通讯接口及通讯的协议，</w:t>
      </w:r>
      <w:r>
        <w:rPr>
          <w:rFonts w:eastAsia="仿宋_GB2312"/>
          <w:sz w:val="28"/>
          <w:szCs w:val="28"/>
        </w:rPr>
        <w:t>接收</w:t>
      </w:r>
      <w:r>
        <w:rPr>
          <w:rFonts w:hint="eastAsia" w:eastAsia="仿宋_GB2312"/>
          <w:sz w:val="28"/>
          <w:szCs w:val="28"/>
        </w:rPr>
        <w:t>监护</w:t>
      </w:r>
      <w:r>
        <w:rPr>
          <w:rFonts w:eastAsia="仿宋_GB2312"/>
          <w:sz w:val="28"/>
          <w:szCs w:val="28"/>
        </w:rPr>
        <w:t>设备所发送的</w:t>
      </w:r>
      <w:r>
        <w:rPr>
          <w:rFonts w:hint="eastAsia" w:eastAsia="仿宋_GB2312"/>
          <w:sz w:val="28"/>
          <w:szCs w:val="28"/>
        </w:rPr>
        <w:t>生命体征</w:t>
      </w:r>
      <w:r>
        <w:rPr>
          <w:rFonts w:eastAsia="仿宋_GB2312"/>
          <w:sz w:val="28"/>
          <w:szCs w:val="28"/>
        </w:rPr>
        <w:t>数据</w:t>
      </w:r>
      <w:r>
        <w:rPr>
          <w:rFonts w:hint="eastAsia" w:eastAsia="仿宋_GB2312"/>
          <w:sz w:val="28"/>
          <w:szCs w:val="28"/>
        </w:rPr>
        <w:t>以及波形曲线图像、报警信息等内容</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d) 数据接口服务</w:t>
      </w:r>
      <w:r>
        <w:rPr>
          <w:rFonts w:hint="eastAsia" w:eastAsia="仿宋_GB2312"/>
          <w:sz w:val="28"/>
          <w:szCs w:val="28"/>
        </w:rPr>
        <w:t>，</w:t>
      </w:r>
      <w:r>
        <w:rPr>
          <w:rFonts w:eastAsia="仿宋_GB2312"/>
          <w:sz w:val="28"/>
          <w:szCs w:val="28"/>
        </w:rPr>
        <w:t>通过HL7</w:t>
      </w:r>
      <w:r>
        <w:rPr>
          <w:rFonts w:hint="eastAsia" w:eastAsia="仿宋_GB2312"/>
          <w:sz w:val="28"/>
          <w:szCs w:val="28"/>
        </w:rPr>
        <w:t>等传输协议</w:t>
      </w:r>
      <w:r>
        <w:rPr>
          <w:rFonts w:eastAsia="仿宋_GB2312"/>
          <w:sz w:val="28"/>
          <w:szCs w:val="28"/>
        </w:rPr>
        <w:t>与HIS等系统进行“患者信息、</w:t>
      </w:r>
      <w:r>
        <w:rPr>
          <w:rFonts w:hint="eastAsia" w:eastAsia="仿宋_GB2312"/>
          <w:sz w:val="28"/>
          <w:szCs w:val="28"/>
        </w:rPr>
        <w:t>监护记录</w:t>
      </w:r>
      <w:r>
        <w:rPr>
          <w:rFonts w:eastAsia="仿宋_GB2312"/>
          <w:sz w:val="28"/>
          <w:szCs w:val="28"/>
        </w:rPr>
        <w:t>”等数据的接收和发送。</w:t>
      </w:r>
      <w:r>
        <w:rPr>
          <w:rFonts w:hint="eastAsia" w:eastAsia="仿宋_GB2312"/>
          <w:sz w:val="28"/>
          <w:szCs w:val="28"/>
        </w:rPr>
        <w:t>应详述数据接口服务，并提供相关验证资料。</w:t>
      </w:r>
    </w:p>
    <w:p>
      <w:pPr>
        <w:spacing w:line="500" w:lineRule="exact"/>
        <w:ind w:firstLine="560" w:firstLineChars="200"/>
        <w:rPr>
          <w:rFonts w:eastAsia="仿宋_GB2312"/>
          <w:sz w:val="28"/>
          <w:szCs w:val="28"/>
        </w:rPr>
      </w:pPr>
      <w:r>
        <w:rPr>
          <w:rFonts w:eastAsia="仿宋_GB2312"/>
          <w:sz w:val="28"/>
          <w:szCs w:val="28"/>
        </w:rPr>
        <w:t>e)数据存储与管理</w:t>
      </w:r>
      <w:r>
        <w:rPr>
          <w:rFonts w:hint="eastAsia" w:eastAsia="仿宋_GB2312"/>
          <w:sz w:val="28"/>
          <w:szCs w:val="28"/>
        </w:rPr>
        <w:t>，</w:t>
      </w:r>
      <w:r>
        <w:rPr>
          <w:rFonts w:eastAsia="仿宋_GB2312"/>
          <w:sz w:val="28"/>
          <w:szCs w:val="28"/>
        </w:rPr>
        <w:t>提供分布式数据存储功能，将获取的</w:t>
      </w:r>
      <w:r>
        <w:rPr>
          <w:rFonts w:hint="eastAsia" w:eastAsia="仿宋_GB2312"/>
          <w:sz w:val="28"/>
          <w:szCs w:val="28"/>
        </w:rPr>
        <w:t>生命体征</w:t>
      </w:r>
      <w:r>
        <w:rPr>
          <w:rFonts w:eastAsia="仿宋_GB2312"/>
          <w:sz w:val="28"/>
          <w:szCs w:val="28"/>
        </w:rPr>
        <w:t>数据</w:t>
      </w:r>
      <w:r>
        <w:rPr>
          <w:rFonts w:hint="eastAsia" w:eastAsia="仿宋_GB2312"/>
          <w:sz w:val="28"/>
          <w:szCs w:val="28"/>
        </w:rPr>
        <w:t>以及波形曲线、报警信息等内容</w:t>
      </w:r>
      <w:r>
        <w:rPr>
          <w:rFonts w:eastAsia="仿宋_GB2312"/>
          <w:sz w:val="28"/>
          <w:szCs w:val="28"/>
        </w:rPr>
        <w:t>进行存储与分发。可根据需要将数据存储在不同的物理位置</w:t>
      </w:r>
      <w:r>
        <w:rPr>
          <w:rFonts w:hint="eastAsia" w:eastAsia="仿宋_GB2312"/>
          <w:sz w:val="28"/>
          <w:szCs w:val="28"/>
        </w:rPr>
        <w:t>，</w:t>
      </w:r>
      <w:r>
        <w:rPr>
          <w:rFonts w:eastAsia="仿宋_GB2312"/>
          <w:sz w:val="28"/>
          <w:szCs w:val="28"/>
        </w:rPr>
        <w:t>防止由于单点故障引起的数据无法访问或丢失。</w:t>
      </w:r>
    </w:p>
    <w:p>
      <w:pPr>
        <w:spacing w:line="500" w:lineRule="exact"/>
        <w:ind w:firstLine="560" w:firstLineChars="200"/>
        <w:rPr>
          <w:rFonts w:eastAsia="仿宋_GB2312"/>
          <w:sz w:val="28"/>
          <w:szCs w:val="28"/>
        </w:rPr>
      </w:pPr>
      <w:r>
        <w:rPr>
          <w:rFonts w:eastAsia="仿宋_GB2312"/>
          <w:sz w:val="28"/>
          <w:szCs w:val="28"/>
        </w:rPr>
        <w:t>（2）中央监护工作站软件</w:t>
      </w:r>
    </w:p>
    <w:p>
      <w:pPr>
        <w:spacing w:line="500" w:lineRule="exact"/>
        <w:ind w:firstLine="560" w:firstLineChars="200"/>
        <w:rPr>
          <w:rFonts w:eastAsia="仿宋_GB2312"/>
          <w:sz w:val="28"/>
          <w:szCs w:val="28"/>
        </w:rPr>
      </w:pPr>
      <w:r>
        <w:rPr>
          <w:rFonts w:hint="eastAsia" w:eastAsia="仿宋_GB2312"/>
          <w:sz w:val="28"/>
          <w:szCs w:val="28"/>
        </w:rPr>
        <w:t>实时监护工作站，通过监护仪厂家提供的数字通讯接口及通讯的协议，实时监控</w:t>
      </w:r>
      <w:r>
        <w:rPr>
          <w:rFonts w:eastAsia="仿宋_GB2312"/>
          <w:sz w:val="28"/>
          <w:szCs w:val="28"/>
        </w:rPr>
        <w:t>远程的监护设备以及采集监护设备输出的多项生命体征数据</w:t>
      </w:r>
      <w:r>
        <w:rPr>
          <w:rFonts w:hint="eastAsia" w:eastAsia="仿宋_GB2312"/>
          <w:sz w:val="28"/>
          <w:szCs w:val="28"/>
        </w:rPr>
        <w:t>（</w:t>
      </w:r>
      <w:r>
        <w:rPr>
          <w:rFonts w:eastAsia="仿宋_GB2312"/>
          <w:sz w:val="28"/>
          <w:szCs w:val="28"/>
        </w:rPr>
        <w:t>包括：</w:t>
      </w:r>
      <w:r>
        <w:rPr>
          <w:rFonts w:hint="eastAsia" w:eastAsia="仿宋_GB2312"/>
          <w:sz w:val="28"/>
          <w:szCs w:val="28"/>
        </w:rPr>
        <w:t>病人心电</w:t>
      </w:r>
      <w:r>
        <w:rPr>
          <w:rFonts w:eastAsia="仿宋_GB2312"/>
          <w:sz w:val="28"/>
          <w:szCs w:val="28"/>
        </w:rPr>
        <w:t>、</w:t>
      </w:r>
      <w:r>
        <w:rPr>
          <w:rFonts w:hint="eastAsia" w:eastAsia="仿宋_GB2312"/>
          <w:sz w:val="28"/>
          <w:szCs w:val="28"/>
        </w:rPr>
        <w:t>血氧</w:t>
      </w:r>
      <w:r>
        <w:rPr>
          <w:rFonts w:eastAsia="仿宋_GB2312"/>
          <w:sz w:val="28"/>
          <w:szCs w:val="28"/>
        </w:rPr>
        <w:t>、</w:t>
      </w:r>
      <w:r>
        <w:rPr>
          <w:rFonts w:hint="eastAsia" w:eastAsia="仿宋_GB2312"/>
          <w:sz w:val="28"/>
          <w:szCs w:val="28"/>
        </w:rPr>
        <w:t>呼吸波形曲线的实时显示; 心电（ECG）、呼吸（RESP）、体温（TEMP）、脉搏氧饱和度（SpO2）、脉率（PR）、无创血压（NIBP）、血药浓度等）,提供对监测信息的显示、回顾、存储和输出，并可对异常监测信号提供报警信息, 并记录全部报警内容</w:t>
      </w:r>
      <w:r>
        <w:rPr>
          <w:rFonts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医生工作站，提供病历管理、病历模板录入、病程记录管理、会诊管理等功能。</w:t>
      </w:r>
    </w:p>
    <w:p>
      <w:pPr>
        <w:spacing w:line="500" w:lineRule="exact"/>
        <w:ind w:firstLine="560" w:firstLineChars="200"/>
        <w:rPr>
          <w:rFonts w:eastAsia="仿宋_GB2312"/>
          <w:sz w:val="28"/>
          <w:szCs w:val="28"/>
        </w:rPr>
      </w:pPr>
      <w:r>
        <w:rPr>
          <w:rFonts w:hint="eastAsia" w:eastAsia="仿宋_GB2312"/>
          <w:sz w:val="28"/>
          <w:szCs w:val="28"/>
        </w:rPr>
        <w:t>护士工作站，提供入院病人评估、三测表记录功能、护理记录管理、护理记录等功能。</w:t>
      </w:r>
    </w:p>
    <w:p>
      <w:pPr>
        <w:spacing w:line="500" w:lineRule="exact"/>
        <w:ind w:firstLine="560" w:firstLineChars="200"/>
        <w:rPr>
          <w:rFonts w:eastAsia="仿宋_GB2312"/>
          <w:sz w:val="28"/>
          <w:szCs w:val="28"/>
        </w:rPr>
      </w:pPr>
      <w:r>
        <w:rPr>
          <w:rFonts w:hint="eastAsia" w:eastAsia="仿宋_GB2312"/>
          <w:sz w:val="28"/>
          <w:szCs w:val="28"/>
        </w:rPr>
        <w:t>趋势图表工作站，为医生和护士等临床工作人员提供随时观察监护仪的不同参数变化，并进行趋势分析的功能。</w:t>
      </w:r>
    </w:p>
    <w:p>
      <w:pPr>
        <w:spacing w:line="50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3</w:t>
      </w:r>
      <w:r>
        <w:rPr>
          <w:rFonts w:eastAsia="仿宋_GB2312"/>
          <w:sz w:val="28"/>
          <w:szCs w:val="28"/>
        </w:rPr>
        <w:t>）中央监护管理软件</w:t>
      </w:r>
    </w:p>
    <w:p>
      <w:pPr>
        <w:spacing w:line="500" w:lineRule="exact"/>
        <w:ind w:firstLine="560" w:firstLineChars="200"/>
        <w:rPr>
          <w:rFonts w:eastAsia="仿宋_GB2312"/>
          <w:sz w:val="28"/>
          <w:szCs w:val="28"/>
        </w:rPr>
      </w:pPr>
      <w:r>
        <w:rPr>
          <w:rFonts w:eastAsia="仿宋_GB2312"/>
          <w:sz w:val="28"/>
          <w:szCs w:val="28"/>
        </w:rPr>
        <w:t>提供用户管理、部门管理、权限管理、角色管理、设备管理</w:t>
      </w:r>
      <w:r>
        <w:rPr>
          <w:rFonts w:hint="eastAsia" w:eastAsia="仿宋_GB2312"/>
          <w:sz w:val="28"/>
          <w:szCs w:val="28"/>
        </w:rPr>
        <w:t>、</w:t>
      </w:r>
      <w:r>
        <w:rPr>
          <w:rFonts w:eastAsia="仿宋_GB2312"/>
          <w:sz w:val="28"/>
          <w:szCs w:val="28"/>
        </w:rPr>
        <w:t>系统信息管理、存储介质管理等的功能。</w:t>
      </w:r>
    </w:p>
    <w:p>
      <w:pPr>
        <w:spacing w:line="500" w:lineRule="exact"/>
        <w:ind w:firstLine="560" w:firstLineChars="200"/>
        <w:rPr>
          <w:rFonts w:eastAsia="仿宋_GB2312"/>
          <w:sz w:val="28"/>
          <w:szCs w:val="28"/>
        </w:rPr>
      </w:pPr>
      <w:r>
        <w:rPr>
          <w:rFonts w:eastAsia="仿宋_GB2312"/>
          <w:sz w:val="28"/>
          <w:szCs w:val="28"/>
        </w:rPr>
        <w:t>2.</w:t>
      </w:r>
      <w:r>
        <w:rPr>
          <w:rFonts w:hint="eastAsia" w:eastAsia="仿宋_GB2312"/>
          <w:sz w:val="28"/>
          <w:szCs w:val="28"/>
        </w:rPr>
        <w:t xml:space="preserve"> </w:t>
      </w:r>
      <w:r>
        <w:rPr>
          <w:rFonts w:eastAsia="仿宋_GB2312"/>
          <w:sz w:val="28"/>
          <w:szCs w:val="28"/>
        </w:rPr>
        <w:t>物理结构</w:t>
      </w:r>
    </w:p>
    <w:p>
      <w:pPr>
        <w:spacing w:line="500" w:lineRule="exact"/>
        <w:ind w:firstLine="560" w:firstLineChars="200"/>
        <w:rPr>
          <w:rFonts w:eastAsia="仿宋_GB2312"/>
          <w:sz w:val="28"/>
          <w:szCs w:val="28"/>
        </w:rPr>
      </w:pPr>
      <w:r>
        <w:rPr>
          <w:rFonts w:eastAsia="仿宋_GB2312"/>
          <w:sz w:val="28"/>
          <w:szCs w:val="28"/>
        </w:rPr>
        <w:t>物理结构应描述产品的物理拓扑和技术规格，物理拓扑可以结合产品架构或产品规模进行描述，也可采用其他方式进行描述，提供示意图并依据示意图进行描述。</w:t>
      </w:r>
    </w:p>
    <w:p>
      <w:pPr>
        <w:spacing w:line="500" w:lineRule="exact"/>
        <w:ind w:firstLine="560" w:firstLineChars="200"/>
        <w:rPr>
          <w:rFonts w:eastAsia="仿宋_GB2312"/>
          <w:sz w:val="28"/>
          <w:szCs w:val="28"/>
        </w:rPr>
      </w:pPr>
      <w:r>
        <w:rPr>
          <w:rFonts w:eastAsia="仿宋_GB2312"/>
          <w:sz w:val="28"/>
          <w:szCs w:val="28"/>
        </w:rPr>
        <w:t>技术规格应描述产品运行所需的技术要求和硬件要求，如通信标准或协议（如HL7）、存储模式［如三级存储模式（在线、近线和离线）或两级存储模式（在线和备份）］、存储格式、网络类型（如局域网、广域网</w:t>
      </w:r>
      <w:r>
        <w:rPr>
          <w:rFonts w:hint="eastAsia" w:eastAsia="仿宋_GB2312"/>
          <w:sz w:val="28"/>
          <w:szCs w:val="28"/>
        </w:rPr>
        <w:t>、</w:t>
      </w:r>
      <w:r>
        <w:rPr>
          <w:rFonts w:eastAsia="仿宋_GB2312"/>
          <w:sz w:val="28"/>
          <w:szCs w:val="28"/>
        </w:rPr>
        <w:t>无线网</w:t>
      </w:r>
      <w:r>
        <w:rPr>
          <w:rFonts w:hint="eastAsia" w:eastAsia="仿宋_GB2312"/>
          <w:sz w:val="28"/>
          <w:szCs w:val="28"/>
        </w:rPr>
        <w:t>、</w:t>
      </w:r>
      <w:r>
        <w:rPr>
          <w:rFonts w:eastAsia="仿宋_GB2312"/>
          <w:sz w:val="28"/>
          <w:szCs w:val="28"/>
        </w:rPr>
        <w:t>遥测网）、传输内容（如文字</w:t>
      </w:r>
      <w:r>
        <w:rPr>
          <w:rFonts w:hint="eastAsia" w:eastAsia="仿宋_GB2312"/>
          <w:sz w:val="28"/>
          <w:szCs w:val="28"/>
        </w:rPr>
        <w:t>、</w:t>
      </w:r>
      <w:r>
        <w:rPr>
          <w:rFonts w:eastAsia="仿宋_GB2312"/>
          <w:sz w:val="28"/>
          <w:szCs w:val="28"/>
        </w:rPr>
        <w:t>图像、视频）、存储介质（如磁盘</w:t>
      </w:r>
      <w:r>
        <w:rPr>
          <w:rFonts w:hint="eastAsia" w:eastAsia="仿宋_GB2312"/>
          <w:sz w:val="28"/>
          <w:szCs w:val="28"/>
        </w:rPr>
        <w:t>、</w:t>
      </w:r>
      <w:r>
        <w:rPr>
          <w:rFonts w:eastAsia="仿宋_GB2312"/>
          <w:sz w:val="28"/>
          <w:szCs w:val="28"/>
        </w:rPr>
        <w:t>光盘、移动存储器）、显示器（如分辨率、亮度）、辅助设备（如条码扫描设备、IC卡读写设备）等。</w:t>
      </w:r>
    </w:p>
    <w:p>
      <w:pPr>
        <w:spacing w:line="500" w:lineRule="exact"/>
        <w:ind w:firstLine="560" w:firstLineChars="200"/>
        <w:rPr>
          <w:rFonts w:eastAsia="仿宋_GB2312"/>
          <w:sz w:val="28"/>
          <w:szCs w:val="28"/>
        </w:rPr>
      </w:pPr>
      <w:r>
        <w:rPr>
          <w:rFonts w:eastAsia="仿宋_GB2312"/>
          <w:sz w:val="28"/>
          <w:szCs w:val="28"/>
        </w:rPr>
        <w:t>如，物理拓扑示意图及相应描述示例如下（图二）：</w:t>
      </w:r>
    </w:p>
    <w:p>
      <w:pPr>
        <w:ind w:right="-67" w:rightChars="-32" w:firstLine="420" w:firstLineChars="200"/>
        <w:jc w:val="center"/>
        <w:rPr>
          <w:rFonts w:eastAsia="楷体_GB2312"/>
          <w:sz w:val="32"/>
          <w:szCs w:val="32"/>
        </w:rPr>
      </w:pPr>
      <w:r>
        <w:object>
          <v:shape id="_x0000_i1026" o:spt="75" type="#_x0000_t75" style="height:201pt;width:441.5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r>
        <w:rPr>
          <w:rFonts w:eastAsia="楷体_GB2312"/>
          <w:sz w:val="32"/>
          <w:szCs w:val="32"/>
        </w:rPr>
        <w:t>图</w:t>
      </w:r>
      <w:r>
        <w:rPr>
          <w:rFonts w:hint="eastAsia" w:eastAsia="楷体_GB2312"/>
          <w:sz w:val="32"/>
          <w:szCs w:val="32"/>
        </w:rPr>
        <w:t>2</w:t>
      </w:r>
      <w:r>
        <w:rPr>
          <w:rFonts w:eastAsia="楷体_GB2312"/>
          <w:sz w:val="32"/>
          <w:szCs w:val="32"/>
        </w:rPr>
        <w:t xml:space="preserve"> 物理拓扑示意图</w:t>
      </w:r>
    </w:p>
    <w:tbl>
      <w:tblPr>
        <w:tblStyle w:val="13"/>
        <w:tblW w:w="87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7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155" w:type="dxa"/>
            <w:shd w:val="clear" w:color="auto" w:fill="D9D9D9"/>
          </w:tcPr>
          <w:p>
            <w:pPr>
              <w:spacing w:line="500" w:lineRule="exact"/>
              <w:jc w:val="center"/>
              <w:rPr>
                <w:rFonts w:eastAsia="仿宋_GB2312"/>
                <w:sz w:val="28"/>
                <w:szCs w:val="28"/>
              </w:rPr>
            </w:pPr>
            <w:r>
              <w:rPr>
                <w:rFonts w:eastAsia="仿宋_GB2312"/>
                <w:sz w:val="28"/>
                <w:szCs w:val="28"/>
              </w:rPr>
              <w:t>标号</w:t>
            </w:r>
          </w:p>
        </w:tc>
        <w:tc>
          <w:tcPr>
            <w:tcW w:w="7600" w:type="dxa"/>
            <w:shd w:val="clear" w:color="auto" w:fill="D9D9D9"/>
          </w:tcPr>
          <w:p>
            <w:pPr>
              <w:spacing w:line="500" w:lineRule="exact"/>
              <w:jc w:val="center"/>
              <w:rPr>
                <w:rFonts w:eastAsia="仿宋_GB2312"/>
                <w:sz w:val="28"/>
                <w:szCs w:val="28"/>
              </w:rPr>
            </w:pPr>
            <w:r>
              <w:rPr>
                <w:rFonts w:eastAsia="仿宋_GB2312"/>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1155" w:type="dxa"/>
          </w:tcPr>
          <w:p>
            <w:pPr>
              <w:spacing w:line="500" w:lineRule="exact"/>
              <w:jc w:val="center"/>
              <w:rPr>
                <w:rFonts w:eastAsia="仿宋_GB2312"/>
                <w:sz w:val="28"/>
                <w:szCs w:val="28"/>
              </w:rPr>
            </w:pPr>
            <w:r>
              <w:rPr>
                <w:rFonts w:eastAsia="仿宋_GB2312"/>
                <w:sz w:val="28"/>
                <w:szCs w:val="28"/>
              </w:rPr>
              <w:t>1</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软件的数据接口服务模块</w:t>
            </w:r>
            <w:r>
              <w:rPr>
                <w:rFonts w:hint="eastAsia" w:eastAsia="仿宋_GB2312"/>
                <w:sz w:val="28"/>
                <w:szCs w:val="28"/>
              </w:rPr>
              <w:t>，通过HL7等接口协议</w:t>
            </w:r>
            <w:r>
              <w:rPr>
                <w:rFonts w:eastAsia="仿宋_GB2312"/>
                <w:sz w:val="28"/>
                <w:szCs w:val="28"/>
              </w:rPr>
              <w:t>从HIS系统获取患者信息，包括：姓名、</w:t>
            </w:r>
            <w:r>
              <w:rPr>
                <w:rFonts w:hint="eastAsia" w:eastAsia="仿宋_GB2312"/>
                <w:sz w:val="28"/>
                <w:szCs w:val="28"/>
              </w:rPr>
              <w:t>住院</w:t>
            </w:r>
            <w:r>
              <w:rPr>
                <w:rFonts w:eastAsia="仿宋_GB2312"/>
                <w:sz w:val="28"/>
                <w:szCs w:val="28"/>
              </w:rPr>
              <w:t>号、性别等</w:t>
            </w:r>
            <w:r>
              <w:rPr>
                <w:rFonts w:hint="eastAsia" w:eastAsia="仿宋_GB2312"/>
                <w:sz w:val="28"/>
                <w:szCs w:val="28"/>
              </w:rPr>
              <w:t>，</w:t>
            </w:r>
            <w:r>
              <w:rPr>
                <w:rFonts w:eastAsia="仿宋_GB2312"/>
                <w:sz w:val="28"/>
                <w:szCs w:val="28"/>
              </w:rPr>
              <w:t>并将这些信息提交到服务器的数据库中进行存储。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155" w:type="dxa"/>
          </w:tcPr>
          <w:p>
            <w:pPr>
              <w:spacing w:line="500" w:lineRule="exact"/>
              <w:jc w:val="center"/>
              <w:rPr>
                <w:rFonts w:eastAsia="仿宋_GB2312"/>
                <w:sz w:val="28"/>
                <w:szCs w:val="28"/>
              </w:rPr>
            </w:pPr>
            <w:r>
              <w:rPr>
                <w:rFonts w:eastAsia="仿宋_GB2312"/>
                <w:sz w:val="28"/>
                <w:szCs w:val="28"/>
              </w:rPr>
              <w:t>2</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的数据采集服务模块，通过与监护</w:t>
            </w:r>
            <w:r>
              <w:rPr>
                <w:rFonts w:eastAsia="仿宋_GB2312"/>
                <w:sz w:val="28"/>
                <w:szCs w:val="28"/>
              </w:rPr>
              <w:t>设备自带的有线网络传输接口</w:t>
            </w:r>
            <w:r>
              <w:rPr>
                <w:rFonts w:hint="eastAsia" w:eastAsia="仿宋_GB2312"/>
                <w:sz w:val="28"/>
                <w:szCs w:val="28"/>
              </w:rPr>
              <w:t>及</w:t>
            </w:r>
            <w:r>
              <w:rPr>
                <w:rFonts w:eastAsia="仿宋_GB2312"/>
                <w:sz w:val="28"/>
                <w:szCs w:val="28"/>
              </w:rPr>
              <w:t>协议进行通讯，</w:t>
            </w:r>
            <w:r>
              <w:rPr>
                <w:rFonts w:hint="eastAsia" w:eastAsia="仿宋_GB2312"/>
                <w:sz w:val="28"/>
                <w:szCs w:val="28"/>
              </w:rPr>
              <w:t>对监护仪采集到的数据波形、生命体征参数、报警信息等数据实时的进行收集，</w:t>
            </w:r>
            <w:r>
              <w:rPr>
                <w:rFonts w:eastAsia="仿宋_GB2312"/>
                <w:sz w:val="28"/>
                <w:szCs w:val="28"/>
              </w:rPr>
              <w:t>并将这些信息与患者的信息相关联后</w:t>
            </w:r>
            <w:r>
              <w:rPr>
                <w:rFonts w:hint="eastAsia" w:eastAsia="仿宋_GB2312"/>
                <w:sz w:val="28"/>
                <w:szCs w:val="28"/>
              </w:rPr>
              <w:t>，</w:t>
            </w:r>
            <w:r>
              <w:rPr>
                <w:rFonts w:eastAsia="仿宋_GB2312"/>
                <w:sz w:val="28"/>
                <w:szCs w:val="28"/>
              </w:rPr>
              <w:t>提交到服务器的数据库中进行存储。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5" w:hRule="atLeast"/>
          <w:jc w:val="center"/>
        </w:trPr>
        <w:tc>
          <w:tcPr>
            <w:tcW w:w="1155" w:type="dxa"/>
          </w:tcPr>
          <w:p>
            <w:pPr>
              <w:spacing w:line="500" w:lineRule="exact"/>
              <w:jc w:val="center"/>
              <w:rPr>
                <w:rFonts w:eastAsia="仿宋_GB2312"/>
                <w:sz w:val="28"/>
                <w:szCs w:val="28"/>
              </w:rPr>
            </w:pPr>
            <w:r>
              <w:rPr>
                <w:rFonts w:eastAsia="仿宋_GB2312"/>
                <w:sz w:val="28"/>
                <w:szCs w:val="28"/>
              </w:rPr>
              <w:t>3</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的实时监护工作站，通过与监护</w:t>
            </w:r>
            <w:r>
              <w:rPr>
                <w:rFonts w:eastAsia="仿宋_GB2312"/>
                <w:sz w:val="28"/>
                <w:szCs w:val="28"/>
              </w:rPr>
              <w:t>设备自带的</w:t>
            </w:r>
            <w:r>
              <w:rPr>
                <w:rFonts w:hint="eastAsia" w:eastAsia="仿宋_GB2312"/>
                <w:sz w:val="28"/>
                <w:szCs w:val="28"/>
              </w:rPr>
              <w:t>串口等数字接口及</w:t>
            </w:r>
            <w:r>
              <w:rPr>
                <w:rFonts w:eastAsia="仿宋_GB2312"/>
                <w:sz w:val="28"/>
                <w:szCs w:val="28"/>
              </w:rPr>
              <w:t>协议进行通讯，</w:t>
            </w:r>
            <w:r>
              <w:rPr>
                <w:rFonts w:hint="eastAsia" w:eastAsia="仿宋_GB2312"/>
                <w:sz w:val="28"/>
                <w:szCs w:val="28"/>
              </w:rPr>
              <w:t>对监护仪采集到的数据波形、生命体征参数、报警信息等数据实时的进行收集，</w:t>
            </w:r>
            <w:r>
              <w:rPr>
                <w:rFonts w:eastAsia="仿宋_GB2312"/>
                <w:sz w:val="28"/>
                <w:szCs w:val="28"/>
              </w:rPr>
              <w:t>并将这些信息与患者的信息相关联后</w:t>
            </w:r>
            <w:r>
              <w:rPr>
                <w:rFonts w:hint="eastAsia" w:eastAsia="仿宋_GB2312"/>
                <w:sz w:val="28"/>
                <w:szCs w:val="28"/>
              </w:rPr>
              <w:t>，</w:t>
            </w:r>
            <w:r>
              <w:rPr>
                <w:rFonts w:eastAsia="仿宋_GB2312"/>
                <w:sz w:val="28"/>
                <w:szCs w:val="28"/>
              </w:rPr>
              <w:t>提交到服务器的</w:t>
            </w:r>
            <w:r>
              <w:rPr>
                <w:rFonts w:hint="eastAsia" w:eastAsia="仿宋_GB2312"/>
                <w:sz w:val="28"/>
                <w:szCs w:val="28"/>
              </w:rPr>
              <w:t>数据采集服务，最终在</w:t>
            </w:r>
            <w:r>
              <w:rPr>
                <w:rFonts w:eastAsia="仿宋_GB2312"/>
                <w:sz w:val="28"/>
                <w:szCs w:val="28"/>
              </w:rPr>
              <w:t>数据库中进行存储。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1155" w:type="dxa"/>
          </w:tcPr>
          <w:p>
            <w:pPr>
              <w:spacing w:line="500" w:lineRule="exact"/>
              <w:jc w:val="center"/>
              <w:rPr>
                <w:rFonts w:eastAsia="仿宋_GB2312"/>
                <w:sz w:val="28"/>
                <w:szCs w:val="28"/>
              </w:rPr>
            </w:pPr>
            <w:r>
              <w:rPr>
                <w:rFonts w:eastAsia="仿宋_GB2312"/>
                <w:sz w:val="28"/>
                <w:szCs w:val="28"/>
              </w:rPr>
              <w:t>4</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的数据采集服务模块，通过与监护</w:t>
            </w:r>
            <w:r>
              <w:rPr>
                <w:rFonts w:eastAsia="仿宋_GB2312"/>
                <w:sz w:val="28"/>
                <w:szCs w:val="28"/>
              </w:rPr>
              <w:t>设备自带的无线网络传输接口</w:t>
            </w:r>
            <w:r>
              <w:rPr>
                <w:rFonts w:hint="eastAsia" w:eastAsia="仿宋_GB2312"/>
                <w:sz w:val="28"/>
                <w:szCs w:val="28"/>
              </w:rPr>
              <w:t>、及</w:t>
            </w:r>
            <w:r>
              <w:rPr>
                <w:rFonts w:eastAsia="仿宋_GB2312"/>
                <w:sz w:val="28"/>
                <w:szCs w:val="28"/>
              </w:rPr>
              <w:t>协议进行通讯，</w:t>
            </w:r>
            <w:r>
              <w:rPr>
                <w:rFonts w:hint="eastAsia" w:eastAsia="仿宋_GB2312"/>
                <w:sz w:val="28"/>
                <w:szCs w:val="28"/>
              </w:rPr>
              <w:t>对监护仪采集到的数据波形、生命体征参数、报警信息等数据实时的进行收集，</w:t>
            </w:r>
            <w:r>
              <w:rPr>
                <w:rFonts w:eastAsia="仿宋_GB2312"/>
                <w:sz w:val="28"/>
                <w:szCs w:val="28"/>
              </w:rPr>
              <w:t>并将这些信息与患者的信息相关联后</w:t>
            </w:r>
            <w:r>
              <w:rPr>
                <w:rFonts w:hint="eastAsia" w:eastAsia="仿宋_GB2312"/>
                <w:sz w:val="28"/>
                <w:szCs w:val="28"/>
              </w:rPr>
              <w:t>，</w:t>
            </w:r>
            <w:r>
              <w:rPr>
                <w:rFonts w:eastAsia="仿宋_GB2312"/>
                <w:sz w:val="28"/>
                <w:szCs w:val="28"/>
              </w:rPr>
              <w:t>提交到服务器的数据库中进行存储。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155" w:type="dxa"/>
          </w:tcPr>
          <w:p>
            <w:pPr>
              <w:spacing w:line="500" w:lineRule="exact"/>
              <w:jc w:val="center"/>
              <w:rPr>
                <w:rFonts w:eastAsia="仿宋_GB2312"/>
                <w:sz w:val="28"/>
                <w:szCs w:val="28"/>
              </w:rPr>
            </w:pPr>
            <w:r>
              <w:rPr>
                <w:rFonts w:eastAsia="仿宋_GB2312"/>
                <w:sz w:val="28"/>
                <w:szCs w:val="28"/>
              </w:rPr>
              <w:t>5</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的数据存储与管理模块，从数据库中调取患者的生命体征数据、报警信息等监护信息，分发到医生工作站。</w:t>
            </w:r>
          </w:p>
          <w:p>
            <w:pPr>
              <w:spacing w:line="500" w:lineRule="exact"/>
              <w:rPr>
                <w:rFonts w:eastAsia="仿宋_GB2312"/>
                <w:sz w:val="28"/>
                <w:szCs w:val="28"/>
              </w:rPr>
            </w:pPr>
            <w:r>
              <w:rPr>
                <w:rFonts w:eastAsia="仿宋_GB2312"/>
                <w:sz w:val="28"/>
                <w:szCs w:val="28"/>
              </w:rPr>
              <w:t>医生使用</w:t>
            </w:r>
            <w:r>
              <w:rPr>
                <w:rFonts w:hint="eastAsia" w:eastAsia="仿宋_GB2312"/>
                <w:sz w:val="28"/>
                <w:szCs w:val="28"/>
              </w:rPr>
              <w:t>中央监护</w:t>
            </w:r>
            <w:r>
              <w:rPr>
                <w:rFonts w:eastAsia="仿宋_GB2312"/>
                <w:sz w:val="28"/>
                <w:szCs w:val="28"/>
              </w:rPr>
              <w:t>软件</w:t>
            </w:r>
            <w:r>
              <w:rPr>
                <w:rFonts w:hint="eastAsia" w:eastAsia="仿宋_GB2312"/>
                <w:sz w:val="28"/>
                <w:szCs w:val="28"/>
              </w:rPr>
              <w:t>医生</w:t>
            </w:r>
            <w:r>
              <w:rPr>
                <w:rFonts w:eastAsia="仿宋_GB2312"/>
                <w:sz w:val="28"/>
                <w:szCs w:val="28"/>
              </w:rPr>
              <w:t>工作站的操作界面</w:t>
            </w:r>
            <w:r>
              <w:rPr>
                <w:rFonts w:hint="eastAsia" w:eastAsia="仿宋_GB2312"/>
                <w:sz w:val="28"/>
                <w:szCs w:val="28"/>
              </w:rPr>
              <w:t>，</w:t>
            </w:r>
            <w:r>
              <w:rPr>
                <w:rFonts w:eastAsia="仿宋_GB2312"/>
                <w:sz w:val="28"/>
                <w:szCs w:val="28"/>
              </w:rPr>
              <w:t>进行</w:t>
            </w:r>
            <w:r>
              <w:rPr>
                <w:rFonts w:hint="eastAsia" w:eastAsia="仿宋_GB2312"/>
                <w:sz w:val="28"/>
                <w:szCs w:val="28"/>
              </w:rPr>
              <w:t>波形及生命体征参数的</w:t>
            </w:r>
            <w:r>
              <w:rPr>
                <w:rFonts w:eastAsia="仿宋_GB2312"/>
                <w:sz w:val="28"/>
                <w:szCs w:val="28"/>
              </w:rPr>
              <w:t>浏览</w:t>
            </w:r>
            <w:r>
              <w:rPr>
                <w:rFonts w:hint="eastAsia" w:eastAsia="仿宋_GB2312"/>
                <w:sz w:val="28"/>
                <w:szCs w:val="28"/>
              </w:rPr>
              <w:t>回顾</w:t>
            </w:r>
            <w:r>
              <w:rPr>
                <w:rFonts w:eastAsia="仿宋_GB2312"/>
                <w:sz w:val="28"/>
                <w:szCs w:val="28"/>
              </w:rPr>
              <w:t>，还可以进行患者住院病历的浏览</w:t>
            </w:r>
            <w:r>
              <w:rPr>
                <w:rFonts w:hint="eastAsia" w:eastAsia="仿宋_GB2312"/>
                <w:sz w:val="28"/>
                <w:szCs w:val="28"/>
              </w:rPr>
              <w:t>、</w:t>
            </w:r>
            <w:r>
              <w:rPr>
                <w:rFonts w:eastAsia="仿宋_GB2312"/>
                <w:sz w:val="28"/>
                <w:szCs w:val="28"/>
              </w:rPr>
              <w:t>病程信息记录等操作</w:t>
            </w:r>
            <w:r>
              <w:rPr>
                <w:rFonts w:hint="eastAsia" w:eastAsia="仿宋_GB2312"/>
                <w:sz w:val="28"/>
                <w:szCs w:val="28"/>
              </w:rPr>
              <w:t>。并将操作信息发送到中央监护</w:t>
            </w:r>
            <w:r>
              <w:rPr>
                <w:rFonts w:eastAsia="仿宋_GB2312"/>
                <w:sz w:val="28"/>
                <w:szCs w:val="28"/>
              </w:rPr>
              <w:t>软件</w:t>
            </w:r>
            <w:r>
              <w:rPr>
                <w:rFonts w:hint="eastAsia" w:eastAsia="仿宋_GB2312"/>
                <w:sz w:val="28"/>
                <w:szCs w:val="28"/>
              </w:rPr>
              <w:t>的数据存储与管理模块进行存储。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1155" w:type="dxa"/>
          </w:tcPr>
          <w:p>
            <w:pPr>
              <w:spacing w:line="500" w:lineRule="exact"/>
              <w:jc w:val="center"/>
              <w:rPr>
                <w:rFonts w:eastAsia="仿宋_GB2312"/>
                <w:sz w:val="28"/>
                <w:szCs w:val="28"/>
              </w:rPr>
            </w:pPr>
            <w:r>
              <w:rPr>
                <w:rFonts w:eastAsia="仿宋_GB2312"/>
                <w:sz w:val="28"/>
                <w:szCs w:val="28"/>
              </w:rPr>
              <w:t>6</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的数据存储与管理模块，从数据库中调取患者的生命体征数据、报警信息等监护信息，分发到护士工作站。</w:t>
            </w:r>
          </w:p>
          <w:p>
            <w:pPr>
              <w:spacing w:line="500" w:lineRule="exact"/>
              <w:rPr>
                <w:rFonts w:eastAsia="仿宋_GB2312"/>
                <w:sz w:val="28"/>
                <w:szCs w:val="28"/>
              </w:rPr>
            </w:pPr>
            <w:r>
              <w:rPr>
                <w:rFonts w:eastAsia="仿宋_GB2312"/>
                <w:sz w:val="28"/>
                <w:szCs w:val="28"/>
              </w:rPr>
              <w:t>护士使用</w:t>
            </w:r>
            <w:r>
              <w:rPr>
                <w:rFonts w:hint="eastAsia" w:eastAsia="仿宋_GB2312"/>
                <w:sz w:val="28"/>
                <w:szCs w:val="28"/>
              </w:rPr>
              <w:t>中央监护</w:t>
            </w:r>
            <w:r>
              <w:rPr>
                <w:rFonts w:eastAsia="仿宋_GB2312"/>
                <w:sz w:val="28"/>
                <w:szCs w:val="28"/>
              </w:rPr>
              <w:t>软件护士工作站的操作界面</w:t>
            </w:r>
            <w:r>
              <w:rPr>
                <w:rFonts w:hint="eastAsia" w:eastAsia="仿宋_GB2312"/>
                <w:sz w:val="28"/>
                <w:szCs w:val="28"/>
              </w:rPr>
              <w:t>，</w:t>
            </w:r>
            <w:r>
              <w:rPr>
                <w:rFonts w:eastAsia="仿宋_GB2312"/>
                <w:sz w:val="28"/>
                <w:szCs w:val="28"/>
              </w:rPr>
              <w:t>进行</w:t>
            </w:r>
            <w:r>
              <w:rPr>
                <w:rFonts w:hint="eastAsia" w:eastAsia="仿宋_GB2312"/>
                <w:sz w:val="28"/>
                <w:szCs w:val="28"/>
              </w:rPr>
              <w:t>波形及生命体征参数的</w:t>
            </w:r>
            <w:r>
              <w:rPr>
                <w:rFonts w:eastAsia="仿宋_GB2312"/>
                <w:sz w:val="28"/>
                <w:szCs w:val="28"/>
              </w:rPr>
              <w:t>浏览</w:t>
            </w:r>
            <w:r>
              <w:rPr>
                <w:rFonts w:hint="eastAsia" w:eastAsia="仿宋_GB2312"/>
                <w:sz w:val="28"/>
                <w:szCs w:val="28"/>
              </w:rPr>
              <w:t>回顾</w:t>
            </w:r>
            <w:r>
              <w:rPr>
                <w:rFonts w:eastAsia="仿宋_GB2312"/>
                <w:sz w:val="28"/>
                <w:szCs w:val="28"/>
              </w:rPr>
              <w:t>，还进行</w:t>
            </w:r>
            <w:r>
              <w:rPr>
                <w:rFonts w:hint="eastAsia" w:eastAsia="仿宋_GB2312"/>
                <w:sz w:val="28"/>
                <w:szCs w:val="28"/>
              </w:rPr>
              <w:t>入院病人评估管理、三测表记录、护理记录录入等操作。并将操作信息发送到中央监护</w:t>
            </w:r>
            <w:r>
              <w:rPr>
                <w:rFonts w:eastAsia="仿宋_GB2312"/>
                <w:sz w:val="28"/>
                <w:szCs w:val="28"/>
              </w:rPr>
              <w:t>软件</w:t>
            </w:r>
            <w:r>
              <w:rPr>
                <w:rFonts w:hint="eastAsia" w:eastAsia="仿宋_GB2312"/>
                <w:sz w:val="28"/>
                <w:szCs w:val="28"/>
              </w:rPr>
              <w:t>的数据存储与管理模块进行存储。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jc w:val="center"/>
        </w:trPr>
        <w:tc>
          <w:tcPr>
            <w:tcW w:w="1155" w:type="dxa"/>
          </w:tcPr>
          <w:p>
            <w:pPr>
              <w:spacing w:line="500" w:lineRule="exact"/>
              <w:jc w:val="center"/>
              <w:rPr>
                <w:rFonts w:eastAsia="仿宋_GB2312"/>
                <w:sz w:val="28"/>
                <w:szCs w:val="28"/>
              </w:rPr>
            </w:pPr>
            <w:r>
              <w:rPr>
                <w:rFonts w:eastAsia="仿宋_GB2312"/>
                <w:sz w:val="28"/>
                <w:szCs w:val="28"/>
              </w:rPr>
              <w:t>7</w:t>
            </w:r>
          </w:p>
        </w:tc>
        <w:tc>
          <w:tcPr>
            <w:tcW w:w="7600" w:type="dxa"/>
          </w:tcPr>
          <w:p>
            <w:pPr>
              <w:spacing w:line="500" w:lineRule="exact"/>
              <w:rPr>
                <w:rFonts w:eastAsia="仿宋_GB2312"/>
                <w:sz w:val="28"/>
                <w:szCs w:val="28"/>
              </w:rPr>
            </w:pPr>
            <w:r>
              <w:rPr>
                <w:rFonts w:hint="eastAsia" w:eastAsia="仿宋_GB2312"/>
                <w:sz w:val="28"/>
                <w:szCs w:val="28"/>
              </w:rPr>
              <w:t>中央监护</w:t>
            </w:r>
            <w:r>
              <w:rPr>
                <w:rFonts w:eastAsia="仿宋_GB2312"/>
                <w:sz w:val="28"/>
                <w:szCs w:val="28"/>
              </w:rPr>
              <w:t>软件</w:t>
            </w:r>
            <w:r>
              <w:rPr>
                <w:rFonts w:hint="eastAsia" w:eastAsia="仿宋_GB2312"/>
                <w:sz w:val="28"/>
                <w:szCs w:val="28"/>
              </w:rPr>
              <w:t>的数据存储与管理模块，从数据库中调取患者的生命体征数据、报警信息等监护信息，分发到中央监护</w:t>
            </w:r>
            <w:r>
              <w:rPr>
                <w:rFonts w:eastAsia="仿宋_GB2312"/>
                <w:sz w:val="28"/>
                <w:szCs w:val="28"/>
              </w:rPr>
              <w:t>软件</w:t>
            </w:r>
            <w:r>
              <w:rPr>
                <w:rFonts w:hint="eastAsia" w:eastAsia="仿宋_GB2312"/>
                <w:sz w:val="28"/>
                <w:szCs w:val="28"/>
              </w:rPr>
              <w:t>趋势图表工作站。实现临床工作人员</w:t>
            </w:r>
            <w:r>
              <w:rPr>
                <w:rFonts w:eastAsia="仿宋_GB2312"/>
                <w:sz w:val="28"/>
                <w:szCs w:val="28"/>
              </w:rPr>
              <w:t>进行患者的</w:t>
            </w:r>
            <w:r>
              <w:rPr>
                <w:rFonts w:hint="eastAsia" w:eastAsia="仿宋_GB2312"/>
                <w:sz w:val="28"/>
                <w:szCs w:val="28"/>
              </w:rPr>
              <w:t>波形及生命体征参数的</w:t>
            </w:r>
            <w:r>
              <w:rPr>
                <w:rFonts w:eastAsia="仿宋_GB2312"/>
                <w:sz w:val="28"/>
                <w:szCs w:val="28"/>
              </w:rPr>
              <w:t>浏览</w:t>
            </w:r>
            <w:r>
              <w:rPr>
                <w:rFonts w:hint="eastAsia" w:eastAsia="仿宋_GB2312"/>
                <w:sz w:val="28"/>
                <w:szCs w:val="28"/>
              </w:rPr>
              <w:t>回顾。</w:t>
            </w:r>
          </w:p>
        </w:tc>
      </w:tr>
    </w:tbl>
    <w:p>
      <w:pPr>
        <w:numPr>
          <w:ilvl w:val="0"/>
          <w:numId w:val="2"/>
        </w:numPr>
        <w:spacing w:line="520" w:lineRule="exact"/>
        <w:ind w:right="-67" w:rightChars="-32" w:firstLine="600" w:firstLineChars="200"/>
        <w:outlineLvl w:val="1"/>
        <w:rPr>
          <w:rFonts w:eastAsia="楷体_GB2312"/>
          <w:sz w:val="30"/>
          <w:szCs w:val="30"/>
        </w:rPr>
      </w:pPr>
      <w:bookmarkStart w:id="7" w:name="_Toc10132"/>
      <w:r>
        <w:rPr>
          <w:rFonts w:eastAsia="楷体_GB2312"/>
          <w:sz w:val="30"/>
          <w:szCs w:val="30"/>
        </w:rPr>
        <w:t>注册单元划分的原则</w:t>
      </w:r>
      <w:bookmarkEnd w:id="7"/>
    </w:p>
    <w:p>
      <w:pPr>
        <w:spacing w:line="500" w:lineRule="exact"/>
        <w:ind w:firstLine="560" w:firstLineChars="200"/>
        <w:rPr>
          <w:rFonts w:eastAsia="仿宋_GB2312"/>
          <w:sz w:val="28"/>
          <w:szCs w:val="28"/>
        </w:rPr>
      </w:pPr>
      <w:r>
        <w:rPr>
          <w:rFonts w:hint="eastAsia" w:eastAsia="仿宋_GB2312"/>
          <w:sz w:val="28"/>
          <w:szCs w:val="28"/>
        </w:rPr>
        <w:t>注册单元划分应根据产品的技术原理、结构组成、性能指标、适用范围划分。中央监护软件</w:t>
      </w:r>
      <w:r>
        <w:rPr>
          <w:rFonts w:eastAsia="仿宋_GB2312"/>
          <w:sz w:val="28"/>
          <w:szCs w:val="28"/>
        </w:rPr>
        <w:t>的注册单元</w:t>
      </w:r>
      <w:r>
        <w:rPr>
          <w:rFonts w:hint="eastAsia" w:eastAsia="仿宋_GB2312"/>
          <w:sz w:val="28"/>
          <w:szCs w:val="28"/>
        </w:rPr>
        <w:t>划分</w:t>
      </w:r>
      <w:r>
        <w:rPr>
          <w:rFonts w:eastAsia="仿宋_GB2312"/>
          <w:sz w:val="28"/>
          <w:szCs w:val="28"/>
        </w:rPr>
        <w:t>参照《医疗器械软件注册技术审查指导原则》关于独立软件注册单元的划分原则进行划分。</w:t>
      </w:r>
    </w:p>
    <w:p>
      <w:pPr>
        <w:spacing w:line="520" w:lineRule="exact"/>
        <w:ind w:firstLine="640" w:firstLineChars="200"/>
        <w:outlineLvl w:val="1"/>
        <w:rPr>
          <w:rFonts w:eastAsia="楷体_GB2312"/>
          <w:sz w:val="30"/>
          <w:szCs w:val="30"/>
        </w:rPr>
      </w:pPr>
      <w:bookmarkStart w:id="8" w:name="_Toc16440"/>
      <w:r>
        <w:rPr>
          <w:rFonts w:hint="eastAsia" w:eastAsia="楷体_GB2312"/>
          <w:sz w:val="32"/>
          <w:szCs w:val="32"/>
        </w:rPr>
        <w:t>（五）</w:t>
      </w:r>
      <w:r>
        <w:rPr>
          <w:rFonts w:hint="eastAsia" w:eastAsia="楷体_GB2312"/>
          <w:sz w:val="30"/>
          <w:szCs w:val="30"/>
        </w:rPr>
        <w:t>产品适用的相关标准</w:t>
      </w:r>
      <w:bookmarkEnd w:id="8"/>
    </w:p>
    <w:p>
      <w:pPr>
        <w:spacing w:line="5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表1  相关标准</w:t>
      </w:r>
    </w:p>
    <w:tbl>
      <w:tblPr>
        <w:tblStyle w:val="13"/>
        <w:tblW w:w="8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
      <w:tblGrid>
        <w:gridCol w:w="2484"/>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288" w:hRule="atLeast"/>
          <w:jc w:val="center"/>
        </w:trPr>
        <w:tc>
          <w:tcPr>
            <w:tcW w:w="2484" w:type="dxa"/>
            <w:vAlign w:val="center"/>
          </w:tcPr>
          <w:p>
            <w:pPr>
              <w:pStyle w:val="19"/>
              <w:rPr>
                <w:rFonts w:ascii="仿宋_GB2312" w:hAnsi="仿宋_GB2312" w:eastAsia="仿宋_GB2312" w:cs="仿宋_GB2312"/>
              </w:rPr>
            </w:pPr>
            <w:r>
              <w:rPr>
                <w:rFonts w:hint="eastAsia" w:ascii="仿宋_GB2312" w:hAnsi="仿宋_GB2312" w:eastAsia="仿宋_GB2312" w:cs="仿宋_GB2312"/>
                <w:sz w:val="28"/>
                <w:szCs w:val="28"/>
              </w:rPr>
              <w:t>GB/T 25000.51-2001</w:t>
            </w:r>
          </w:p>
        </w:tc>
        <w:tc>
          <w:tcPr>
            <w:tcW w:w="6176" w:type="dxa"/>
            <w:vAlign w:val="center"/>
          </w:tcPr>
          <w:p>
            <w:pPr>
              <w:autoSpaceDE w:val="0"/>
              <w:spacing w:line="520" w:lineRule="exact"/>
              <w:ind w:right="-67"/>
              <w:rPr>
                <w:rFonts w:ascii="仿宋_GB2312" w:hAnsi="仿宋_GB2312" w:eastAsia="仿宋_GB2312" w:cs="仿宋_GB2312"/>
              </w:rPr>
            </w:pPr>
            <w:r>
              <w:rPr>
                <w:rFonts w:hint="eastAsia" w:ascii="仿宋_GB2312" w:hAnsi="仿宋_GB2312" w:eastAsia="仿宋_GB2312" w:cs="仿宋_GB2312"/>
                <w:kern w:val="1"/>
                <w:sz w:val="28"/>
                <w:szCs w:val="28"/>
              </w:rPr>
              <w:t>《软件工程 软件产品质量要求与评价(SQuaRE)商业现货(COTS)软件产品的质量要求和测试细则》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288" w:hRule="atLeast"/>
          <w:jc w:val="center"/>
        </w:trPr>
        <w:tc>
          <w:tcPr>
            <w:tcW w:w="2484" w:type="dxa"/>
            <w:vAlign w:val="center"/>
          </w:tcPr>
          <w:p>
            <w:pPr>
              <w:pStyle w:val="19"/>
              <w:rPr>
                <w:rFonts w:ascii="仿宋_GB2312" w:hAnsi="仿宋_GB2312" w:eastAsia="仿宋_GB2312" w:cs="仿宋_GB2312"/>
                <w:sz w:val="28"/>
                <w:szCs w:val="28"/>
              </w:rPr>
            </w:pPr>
            <w:r>
              <w:rPr>
                <w:rFonts w:hint="eastAsia" w:ascii="仿宋_GB2312" w:hAnsi="仿宋_GB2312" w:eastAsia="仿宋_GB2312" w:cs="仿宋_GB2312"/>
                <w:sz w:val="28"/>
                <w:szCs w:val="28"/>
              </w:rPr>
              <w:t>GB/T 16260-2006</w:t>
            </w:r>
          </w:p>
        </w:tc>
        <w:tc>
          <w:tcPr>
            <w:tcW w:w="6176" w:type="dxa"/>
            <w:vAlign w:val="center"/>
          </w:tcPr>
          <w:p>
            <w:pPr>
              <w:autoSpaceDE w:val="0"/>
              <w:spacing w:line="520" w:lineRule="exact"/>
              <w:ind w:right="-67"/>
              <w:rPr>
                <w:rFonts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《软件工程  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707" w:hRule="atLeast"/>
          <w:jc w:val="center"/>
        </w:trPr>
        <w:tc>
          <w:tcPr>
            <w:tcW w:w="2484" w:type="dxa"/>
            <w:vAlign w:val="center"/>
          </w:tcPr>
          <w:p>
            <w:pPr>
              <w:autoSpaceDE w:val="0"/>
              <w:spacing w:line="520" w:lineRule="exact"/>
              <w:ind w:right="-67"/>
              <w:rPr>
                <w:rFonts w:ascii="仿宋_GB2312" w:hAnsi="仿宋_GB2312" w:eastAsia="仿宋_GB2312" w:cs="仿宋_GB2312"/>
              </w:rPr>
            </w:pPr>
            <w:r>
              <w:rPr>
                <w:rFonts w:hint="eastAsia" w:ascii="仿宋_GB2312" w:hAnsi="仿宋_GB2312" w:eastAsia="仿宋_GB2312" w:cs="仿宋_GB2312"/>
                <w:kern w:val="1"/>
                <w:sz w:val="28"/>
                <w:szCs w:val="28"/>
              </w:rPr>
              <w:t>YY/T 0664—2008</w:t>
            </w:r>
          </w:p>
        </w:tc>
        <w:tc>
          <w:tcPr>
            <w:tcW w:w="6176" w:type="dxa"/>
            <w:vAlign w:val="center"/>
          </w:tcPr>
          <w:p>
            <w:pPr>
              <w:autoSpaceDE w:val="0"/>
              <w:spacing w:line="520" w:lineRule="exact"/>
              <w:ind w:right="-67"/>
              <w:rPr>
                <w:rFonts w:ascii="仿宋_GB2312" w:hAnsi="仿宋_GB2312" w:eastAsia="仿宋_GB2312" w:cs="仿宋_GB2312"/>
              </w:rPr>
            </w:pPr>
            <w:r>
              <w:rPr>
                <w:rFonts w:hint="eastAsia" w:ascii="仿宋_GB2312" w:hAnsi="仿宋_GB2312" w:eastAsia="仿宋_GB2312" w:cs="仿宋_GB2312"/>
                <w:kern w:val="1"/>
                <w:sz w:val="28"/>
                <w:szCs w:val="28"/>
              </w:rPr>
              <w:t>《医疗器械软件 软件生存周期过程》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288" w:hRule="atLeast"/>
          <w:jc w:val="center"/>
        </w:trPr>
        <w:tc>
          <w:tcPr>
            <w:tcW w:w="2484" w:type="dxa"/>
          </w:tcPr>
          <w:p>
            <w:pPr>
              <w:pStyle w:val="19"/>
              <w:rPr>
                <w:rFonts w:ascii="仿宋_GB2312" w:hAnsi="仿宋_GB2312" w:eastAsia="仿宋_GB2312" w:cs="仿宋_GB2312"/>
              </w:rPr>
            </w:pPr>
            <w:r>
              <w:rPr>
                <w:rFonts w:hint="eastAsia" w:ascii="仿宋_GB2312" w:hAnsi="仿宋_GB2312" w:eastAsia="仿宋_GB2312" w:cs="仿宋_GB2312"/>
                <w:sz w:val="28"/>
                <w:szCs w:val="28"/>
              </w:rPr>
              <w:t xml:space="preserve">ISO/HL7 21731-2014 </w:t>
            </w:r>
          </w:p>
        </w:tc>
        <w:tc>
          <w:tcPr>
            <w:tcW w:w="6176" w:type="dxa"/>
          </w:tcPr>
          <w:p>
            <w:pPr>
              <w:pStyle w:val="19"/>
              <w:rPr>
                <w:rFonts w:ascii="仿宋_GB2312" w:hAnsi="仿宋_GB2312" w:eastAsia="仿宋_GB2312" w:cs="仿宋_GB2312"/>
              </w:rPr>
            </w:pPr>
            <w:r>
              <w:rPr>
                <w:rFonts w:hint="eastAsia" w:ascii="仿宋_GB2312" w:hAnsi="仿宋_GB2312" w:eastAsia="仿宋_GB2312" w:cs="仿宋_GB2312"/>
                <w:sz w:val="28"/>
                <w:szCs w:val="28"/>
              </w:rPr>
              <w:t>《医疗信息交换标准HL7》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158" w:hRule="atLeast"/>
          <w:jc w:val="center"/>
        </w:trPr>
        <w:tc>
          <w:tcPr>
            <w:tcW w:w="2484" w:type="dxa"/>
          </w:tcPr>
          <w:p>
            <w:pPr>
              <w:pStyle w:val="19"/>
              <w:snapToGrid w:val="0"/>
              <w:rPr>
                <w:rFonts w:ascii="仿宋_GB2312" w:hAnsi="仿宋_GB2312" w:eastAsia="仿宋_GB2312" w:cs="仿宋_GB2312"/>
              </w:rPr>
            </w:pPr>
            <w:r>
              <w:rPr>
                <w:rFonts w:hint="eastAsia" w:ascii="仿宋_GB2312" w:hAnsi="仿宋_GB2312" w:eastAsia="仿宋_GB2312" w:cs="仿宋_GB2312"/>
                <w:sz w:val="28"/>
                <w:szCs w:val="28"/>
              </w:rPr>
              <w:t>YY 0709-2009</w:t>
            </w:r>
          </w:p>
        </w:tc>
        <w:tc>
          <w:tcPr>
            <w:tcW w:w="6176" w:type="dxa"/>
          </w:tcPr>
          <w:p>
            <w:pPr>
              <w:pStyle w:val="19"/>
              <w:snapToGrid w:val="0"/>
              <w:rPr>
                <w:rFonts w:ascii="仿宋_GB2312" w:hAnsi="仿宋_GB2312" w:eastAsia="仿宋_GB2312" w:cs="仿宋_GB2312"/>
              </w:rPr>
            </w:pPr>
            <w:r>
              <w:rPr>
                <w:rFonts w:hint="eastAsia" w:ascii="仿宋_GB2312" w:hAnsi="仿宋_GB2312" w:eastAsia="仿宋_GB2312" w:cs="仿宋_GB2312"/>
                <w:sz w:val="28"/>
                <w:szCs w:val="28"/>
              </w:rPr>
              <w:t>《医用电气设备第 1-8 部分：安全通用要求并列标准：通用要求，医用电气设备和医用电气系统中报警系统的测试和指南》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158" w:hRule="atLeast"/>
          <w:jc w:val="center"/>
        </w:trPr>
        <w:tc>
          <w:tcPr>
            <w:tcW w:w="2484" w:type="dxa"/>
          </w:tcPr>
          <w:p>
            <w:pPr>
              <w:pStyle w:val="19"/>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YY/T 0316-2008 </w:t>
            </w:r>
          </w:p>
        </w:tc>
        <w:tc>
          <w:tcPr>
            <w:tcW w:w="6176" w:type="dxa"/>
          </w:tcPr>
          <w:p>
            <w:pPr>
              <w:pStyle w:val="19"/>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《医疗器械风险管理对医疗器械的应用》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635" w:hRule="atLeast"/>
          <w:jc w:val="center"/>
        </w:trPr>
        <w:tc>
          <w:tcPr>
            <w:tcW w:w="2484" w:type="dxa"/>
          </w:tcPr>
          <w:p>
            <w:pPr>
              <w:pStyle w:val="19"/>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YY/T 1437-2016</w:t>
            </w:r>
          </w:p>
        </w:tc>
        <w:tc>
          <w:tcPr>
            <w:tcW w:w="6176" w:type="dxa"/>
          </w:tcPr>
          <w:p>
            <w:pPr>
              <w:pStyle w:val="19"/>
              <w:snapToGrid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《医疗器械YY/T 0316应用指南》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635" w:hRule="atLeast"/>
          <w:jc w:val="center"/>
        </w:trPr>
        <w:tc>
          <w:tcPr>
            <w:tcW w:w="2484" w:type="dxa"/>
          </w:tcPr>
          <w:p>
            <w:pPr>
              <w:pStyle w:val="19"/>
              <w:snapToGrid w:val="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YY 0885-2013</w:t>
            </w:r>
          </w:p>
        </w:tc>
        <w:tc>
          <w:tcPr>
            <w:tcW w:w="6176" w:type="dxa"/>
          </w:tcPr>
          <w:p>
            <w:pPr>
              <w:pStyle w:val="19"/>
              <w:snapToGrid w:val="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动态心电图系统安全和基本性能专用要求</w:t>
            </w:r>
          </w:p>
        </w:tc>
      </w:tr>
    </w:tbl>
    <w:p>
      <w:pPr>
        <w:spacing w:line="500" w:lineRule="exact"/>
        <w:ind w:firstLine="560" w:firstLineChars="200"/>
        <w:rPr>
          <w:rFonts w:eastAsia="仿宋_GB2312"/>
          <w:sz w:val="28"/>
          <w:szCs w:val="28"/>
        </w:rPr>
      </w:pPr>
    </w:p>
    <w:p>
      <w:pPr>
        <w:spacing w:line="500" w:lineRule="exact"/>
        <w:ind w:firstLine="560" w:firstLineChars="200"/>
        <w:rPr>
          <w:rFonts w:eastAsia="仿宋_GB2312"/>
          <w:sz w:val="28"/>
          <w:szCs w:val="28"/>
        </w:rPr>
      </w:pPr>
      <w:r>
        <w:rPr>
          <w:rFonts w:hint="eastAsia" w:eastAsia="仿宋_GB2312"/>
          <w:sz w:val="28"/>
          <w:szCs w:val="28"/>
        </w:rPr>
        <w:t>上述标准包括了中央监护软件产品注册所涉及到的主要标准。注册申请人可根据产品的特点引用其他行业的相关标准，比如软件工程类的标准，或信息通信类的标准和相关心电类标准。</w:t>
      </w:r>
    </w:p>
    <w:p>
      <w:pPr>
        <w:spacing w:line="500" w:lineRule="exact"/>
        <w:ind w:firstLine="560" w:firstLineChars="200"/>
        <w:rPr>
          <w:rFonts w:eastAsia="仿宋_GB2312"/>
          <w:sz w:val="28"/>
          <w:szCs w:val="28"/>
        </w:rPr>
      </w:pPr>
      <w:r>
        <w:rPr>
          <w:rFonts w:hint="eastAsia" w:eastAsia="仿宋_GB2312"/>
          <w:sz w:val="28"/>
          <w:szCs w:val="28"/>
        </w:rPr>
        <w:t>目前国内尚无中央监护软件产品专用标准，GB/T 25000.51原则上适用，本指导原则在产品技术要求中对GB/T 25000.51第五章“COTS软件产品的要求”的符合性进行了要求。</w:t>
      </w:r>
    </w:p>
    <w:p>
      <w:pPr>
        <w:spacing w:line="500" w:lineRule="exact"/>
        <w:ind w:firstLine="560" w:firstLineChars="200"/>
        <w:rPr>
          <w:rFonts w:eastAsia="仿宋_GB2312"/>
          <w:sz w:val="28"/>
          <w:szCs w:val="28"/>
        </w:rPr>
      </w:pPr>
      <w:r>
        <w:rPr>
          <w:rFonts w:hint="eastAsia" w:eastAsia="仿宋_GB2312"/>
          <w:sz w:val="28"/>
          <w:szCs w:val="28"/>
        </w:rPr>
        <w:t>YY/T 0664规定了医疗器械软件的生存周期要求，申请人应基于YY/T 0664建立起与软件安全性级别相匹配的软件生存周期过程，并作为自身质量管理体系的组成部分。</w:t>
      </w:r>
    </w:p>
    <w:p>
      <w:pPr>
        <w:spacing w:line="500" w:lineRule="exact"/>
        <w:ind w:firstLine="560" w:firstLineChars="200"/>
        <w:rPr>
          <w:rFonts w:eastAsia="仿宋_GB2312"/>
          <w:sz w:val="28"/>
          <w:szCs w:val="28"/>
        </w:rPr>
      </w:pPr>
      <w:r>
        <w:rPr>
          <w:rFonts w:hint="eastAsia" w:eastAsia="仿宋_GB2312"/>
          <w:sz w:val="28"/>
          <w:szCs w:val="28"/>
        </w:rPr>
        <w:t>ISO/HL7 21731标准规定了医疗数据信息传输协议和标准，得到了广泛的应用，本指导推荐使用该标准，若申请人声明产品符合HL7标准，则应提供HL7符合性声明，HL7符合性声明的编写方法和内容参照HL7标准中的相关规定。</w:t>
      </w:r>
    </w:p>
    <w:p>
      <w:pPr>
        <w:spacing w:line="500" w:lineRule="exact"/>
        <w:ind w:firstLine="560" w:firstLineChars="200"/>
        <w:rPr>
          <w:rFonts w:eastAsia="仿宋_GB2312"/>
          <w:sz w:val="28"/>
          <w:szCs w:val="28"/>
        </w:rPr>
      </w:pPr>
      <w:r>
        <w:rPr>
          <w:rFonts w:hint="eastAsia" w:eastAsia="仿宋_GB2312"/>
          <w:sz w:val="28"/>
          <w:szCs w:val="28"/>
        </w:rPr>
        <w:t>YY 0709 是对医疗器械报警系统基本安全及性能的要求和测试的综合性行业标准，申请人根据中央监护软件产品的报警功能特点，引用该标准的适用要求。</w:t>
      </w:r>
    </w:p>
    <w:p>
      <w:pPr>
        <w:spacing w:line="560" w:lineRule="exact"/>
        <w:ind w:right="-67"/>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bookmarkStart w:id="9" w:name="_Toc30447"/>
      <w:r>
        <w:rPr>
          <w:rFonts w:hint="eastAsia" w:eastAsia="楷体_GB2312"/>
          <w:sz w:val="32"/>
          <w:szCs w:val="32"/>
        </w:rPr>
        <w:t>（六）</w:t>
      </w:r>
      <w:r>
        <w:rPr>
          <w:rFonts w:hint="eastAsia" w:eastAsia="楷体_GB2312"/>
          <w:sz w:val="30"/>
          <w:szCs w:val="30"/>
        </w:rPr>
        <w:t>产品的适用范围/预期用途</w:t>
      </w:r>
      <w:bookmarkEnd w:id="9"/>
    </w:p>
    <w:p>
      <w:pPr>
        <w:suppressAutoHyphens/>
        <w:spacing w:line="520" w:lineRule="exact"/>
        <w:ind w:firstLine="640"/>
        <w:rPr>
          <w:rFonts w:ascii="仿宋_GB2312" w:hAnsi="仿宋_GB2312" w:eastAsia="仿宋_GB2312" w:cs="仿宋_GB2312"/>
          <w:sz w:val="28"/>
          <w:szCs w:val="28"/>
        </w:rPr>
      </w:pPr>
      <w:r>
        <w:rPr>
          <w:rFonts w:hint="eastAsia" w:eastAsia="仿宋_GB2312"/>
          <w:sz w:val="28"/>
          <w:szCs w:val="28"/>
        </w:rPr>
        <w:t>中央监护软件的适用范围应根据功能进行规范，如：该产品用于对多个床边监护仪监护信息的收集、集中显示和报警等。</w:t>
      </w:r>
    </w:p>
    <w:p>
      <w:pPr>
        <w:spacing w:line="560" w:lineRule="exact"/>
        <w:ind w:firstLine="640" w:firstLineChars="200"/>
        <w:outlineLvl w:val="1"/>
        <w:rPr>
          <w:rFonts w:eastAsia="楷体_GB2312"/>
          <w:sz w:val="32"/>
          <w:szCs w:val="32"/>
        </w:rPr>
      </w:pPr>
      <w:bookmarkStart w:id="10" w:name="_Toc1362"/>
      <w:r>
        <w:rPr>
          <w:rFonts w:eastAsia="楷体_GB2312"/>
          <w:sz w:val="32"/>
          <w:szCs w:val="32"/>
        </w:rPr>
        <w:t>（七）</w:t>
      </w:r>
      <w:r>
        <w:rPr>
          <w:rFonts w:hint="eastAsia" w:eastAsia="楷体_GB2312"/>
          <w:sz w:val="30"/>
          <w:szCs w:val="30"/>
        </w:rPr>
        <w:t>产品的主要风险</w:t>
      </w:r>
      <w:bookmarkEnd w:id="10"/>
    </w:p>
    <w:p>
      <w:pPr>
        <w:spacing w:line="500" w:lineRule="exact"/>
        <w:ind w:firstLine="560" w:firstLineChars="200"/>
        <w:rPr>
          <w:rFonts w:eastAsia="仿宋_GB2312"/>
          <w:sz w:val="28"/>
          <w:szCs w:val="28"/>
        </w:rPr>
      </w:pPr>
      <w:r>
        <w:rPr>
          <w:rFonts w:hint="eastAsia" w:eastAsia="仿宋_GB2312"/>
          <w:sz w:val="28"/>
          <w:szCs w:val="28"/>
        </w:rPr>
        <w:t>中央监护软件的风险管理报告应符合YY/T 0316—2008《医疗器械 风险管理对医疗器械的应用》及YY/T 1437-2016《医疗器械YY/T 0316应用指南》的有关要求。其中YY/T 1437-2016标准适用于理解和应用YY/T 0316医疗器械风险管理对医疗器械的应用标准，其建立、实施和保持满足YY/T 0316标准要求的医疗器械风险管理的指南，本指导推荐使用该标准。具体审查要点包括：</w:t>
      </w:r>
    </w:p>
    <w:p>
      <w:pPr>
        <w:spacing w:line="500" w:lineRule="exact"/>
        <w:ind w:firstLine="560" w:firstLineChars="200"/>
        <w:rPr>
          <w:rFonts w:eastAsia="仿宋_GB2312"/>
          <w:sz w:val="28"/>
          <w:szCs w:val="28"/>
        </w:rPr>
      </w:pPr>
      <w:r>
        <w:rPr>
          <w:rFonts w:hint="eastAsia" w:eastAsia="仿宋_GB2312"/>
          <w:sz w:val="28"/>
          <w:szCs w:val="28"/>
        </w:rPr>
        <w:t>1. 产品定性定量分析是否准确（依据YY/T 0316—2008附录C）。</w:t>
      </w:r>
    </w:p>
    <w:p>
      <w:pPr>
        <w:spacing w:line="500" w:lineRule="exact"/>
        <w:ind w:firstLine="560" w:firstLineChars="200"/>
        <w:rPr>
          <w:rFonts w:eastAsia="仿宋_GB2312"/>
          <w:sz w:val="28"/>
          <w:szCs w:val="28"/>
        </w:rPr>
      </w:pPr>
      <w:r>
        <w:rPr>
          <w:rFonts w:hint="eastAsia" w:eastAsia="仿宋_GB2312"/>
          <w:sz w:val="28"/>
          <w:szCs w:val="28"/>
        </w:rPr>
        <w:t>2. 危害分析是否全面（依据YY/T 0316—2008附录E）。</w:t>
      </w:r>
    </w:p>
    <w:p>
      <w:pPr>
        <w:spacing w:line="500" w:lineRule="exact"/>
        <w:ind w:firstLine="560" w:firstLineChars="200"/>
        <w:rPr>
          <w:rFonts w:eastAsia="仿宋_GB2312"/>
          <w:sz w:val="28"/>
          <w:szCs w:val="28"/>
        </w:rPr>
      </w:pPr>
      <w:r>
        <w:rPr>
          <w:rFonts w:hint="eastAsia" w:eastAsia="仿宋_GB2312"/>
          <w:sz w:val="28"/>
          <w:szCs w:val="28"/>
        </w:rPr>
        <w:t>3. 风险可接收准则，降低风险的措施及采取措施后风险的可接收程度，是否有新的风险产生。</w:t>
      </w:r>
    </w:p>
    <w:p>
      <w:pPr>
        <w:spacing w:line="500" w:lineRule="exact"/>
        <w:ind w:firstLine="560" w:firstLineChars="200"/>
        <w:rPr>
          <w:rFonts w:eastAsia="仿宋_GB2312"/>
          <w:sz w:val="28"/>
          <w:szCs w:val="28"/>
        </w:rPr>
      </w:pPr>
      <w:r>
        <w:rPr>
          <w:rFonts w:hint="eastAsia" w:eastAsia="仿宋_GB2312"/>
          <w:sz w:val="28"/>
          <w:szCs w:val="28"/>
        </w:rPr>
        <w:t>以下依据YY/T 1437-2016及YY/T 0316—2008的附录E从三方面列举了中央监护软件产品的危害因素。</w:t>
      </w:r>
    </w:p>
    <w:p>
      <w:pPr>
        <w:tabs>
          <w:tab w:val="left" w:pos="2860"/>
          <w:tab w:val="center" w:pos="4391"/>
        </w:tabs>
        <w:spacing w:after="156" w:afterLines="50" w:line="580" w:lineRule="exact"/>
        <w:jc w:val="center"/>
        <w:rPr>
          <w:rFonts w:eastAsia="仿宋_GB2312"/>
          <w:sz w:val="32"/>
          <w:szCs w:val="32"/>
        </w:rPr>
      </w:pPr>
      <w:r>
        <w:rPr>
          <w:rFonts w:eastAsia="仿宋_GB2312"/>
          <w:sz w:val="32"/>
          <w:szCs w:val="32"/>
        </w:rPr>
        <w:t xml:space="preserve">表2 </w:t>
      </w:r>
      <w:r>
        <w:rPr>
          <w:rFonts w:eastAsia="仿宋_GB2312"/>
          <w:bCs/>
          <w:sz w:val="32"/>
          <w:szCs w:val="32"/>
        </w:rPr>
        <w:t>产品主要危害</w:t>
      </w:r>
    </w:p>
    <w:tbl>
      <w:tblPr>
        <w:tblStyle w:val="13"/>
        <w:tblW w:w="874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48"/>
        <w:gridCol w:w="63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15"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i/>
                <w:sz w:val="28"/>
                <w:szCs w:val="28"/>
              </w:rPr>
            </w:pPr>
            <w:r>
              <w:rPr>
                <w:rFonts w:eastAsia="仿宋_GB2312"/>
                <w:sz w:val="28"/>
                <w:szCs w:val="28"/>
              </w:rPr>
              <w:t>可能产生的危害</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形成因素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9" w:hRule="atLeast"/>
          <w:jc w:val="center"/>
        </w:trPr>
        <w:tc>
          <w:tcPr>
            <w:tcW w:w="8748"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b/>
                <w:i/>
                <w:sz w:val="28"/>
                <w:szCs w:val="28"/>
              </w:rPr>
            </w:pPr>
            <w:r>
              <w:rPr>
                <w:rFonts w:eastAsia="仿宋_GB2312"/>
                <w:b/>
                <w:sz w:val="28"/>
                <w:szCs w:val="28"/>
              </w:rPr>
              <w:t>A.能量危害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9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电能—网电源</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意外断电，将影响处理中数据的可靠性、稳定性。</w:t>
            </w:r>
          </w:p>
          <w:p>
            <w:pPr>
              <w:spacing w:line="380" w:lineRule="exact"/>
              <w:rPr>
                <w:rFonts w:eastAsia="仿宋_GB2312"/>
                <w:sz w:val="28"/>
                <w:szCs w:val="28"/>
              </w:rPr>
            </w:pPr>
            <w:r>
              <w:rPr>
                <w:rFonts w:eastAsia="仿宋_GB2312"/>
                <w:sz w:val="28"/>
                <w:szCs w:val="28"/>
              </w:rPr>
              <w:t>设备停电后又恢复时可造成图像数据失真、丢失等危害。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88"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电磁能</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计算机和网络设备电磁兼容环境差影响软件正常使用。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4" w:hRule="atLeast"/>
          <w:jc w:val="center"/>
        </w:trPr>
        <w:tc>
          <w:tcPr>
            <w:tcW w:w="8748"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highlight w:val="yellow"/>
              </w:rPr>
            </w:pPr>
            <w:r>
              <w:rPr>
                <w:rFonts w:eastAsia="仿宋_GB2312"/>
                <w:b/>
                <w:sz w:val="28"/>
                <w:szCs w:val="28"/>
              </w:rPr>
              <w:t>B.操作危害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highlight w:val="yellow"/>
              </w:rPr>
            </w:pPr>
            <w:r>
              <w:rPr>
                <w:rFonts w:eastAsia="仿宋_GB2312"/>
                <w:sz w:val="28"/>
                <w:szCs w:val="28"/>
              </w:rPr>
              <w:t>功能</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hint="eastAsia" w:eastAsia="仿宋_GB2312"/>
                <w:sz w:val="28"/>
                <w:szCs w:val="28"/>
              </w:rPr>
              <w:t>中央监护软件</w:t>
            </w:r>
            <w:r>
              <w:rPr>
                <w:rFonts w:eastAsia="仿宋_GB2312"/>
                <w:sz w:val="28"/>
                <w:szCs w:val="28"/>
              </w:rPr>
              <w:t>在存储和传输过程中，可能出现患者信息的隐私泄露、数据丢失、无法访问、感染软件病毒等危害。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66" w:hRule="atLeast"/>
          <w:jc w:val="center"/>
        </w:trPr>
        <w:tc>
          <w:tcPr>
            <w:tcW w:w="2448" w:type="dxa"/>
            <w:vMerge w:val="restart"/>
            <w:tcBorders>
              <w:top w:val="single" w:color="auto" w:sz="4" w:space="0"/>
              <w:left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不正确或不适当的输出或功能</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hint="eastAsia" w:eastAsia="仿宋_GB2312"/>
                <w:sz w:val="28"/>
                <w:szCs w:val="28"/>
              </w:rPr>
              <w:t>中央监护软件</w:t>
            </w:r>
            <w:r>
              <w:rPr>
                <w:rFonts w:eastAsia="仿宋_GB2312"/>
                <w:sz w:val="28"/>
                <w:szCs w:val="28"/>
              </w:rPr>
              <w:t>在存储和传输过程中，患者信息和医学图像资料可能出现不匹配、不准确，造成延误诊断、诊断错误等。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08" w:hRule="atLeast"/>
          <w:jc w:val="center"/>
        </w:trPr>
        <w:tc>
          <w:tcPr>
            <w:tcW w:w="2448" w:type="dxa"/>
            <w:vMerge w:val="continue"/>
            <w:tcBorders>
              <w:left w:val="single" w:color="auto" w:sz="4" w:space="0"/>
              <w:right w:val="single" w:color="auto" w:sz="4" w:space="0"/>
            </w:tcBorders>
            <w:vAlign w:val="center"/>
          </w:tcPr>
          <w:p>
            <w:pPr>
              <w:spacing w:line="380" w:lineRule="exact"/>
              <w:rPr>
                <w:rFonts w:eastAsia="仿宋_GB2312"/>
                <w:sz w:val="28"/>
                <w:szCs w:val="28"/>
              </w:rPr>
            </w:pP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hint="eastAsia" w:eastAsia="仿宋_GB2312"/>
                <w:sz w:val="28"/>
                <w:szCs w:val="28"/>
              </w:rPr>
              <w:t>中央监护软件</w:t>
            </w:r>
            <w:r>
              <w:rPr>
                <w:rFonts w:eastAsia="仿宋_GB2312"/>
                <w:sz w:val="28"/>
                <w:szCs w:val="28"/>
              </w:rPr>
              <w:t>在存储和传输过程中，可能出现图像无法存储、无法传输、模糊、伪影等图像质量问题及不能恢复到原始数据，造成延误诊断或造成诊断错误。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17" w:hRule="atLeast"/>
          <w:jc w:val="center"/>
        </w:trPr>
        <w:tc>
          <w:tcPr>
            <w:tcW w:w="2448" w:type="dxa"/>
            <w:vMerge w:val="continue"/>
            <w:tcBorders>
              <w:left w:val="single" w:color="auto" w:sz="4" w:space="0"/>
              <w:bottom w:val="single" w:color="auto" w:sz="4" w:space="0"/>
              <w:right w:val="single" w:color="auto" w:sz="4" w:space="0"/>
            </w:tcBorders>
            <w:vAlign w:val="center"/>
          </w:tcPr>
          <w:p>
            <w:pPr>
              <w:spacing w:line="380" w:lineRule="exact"/>
              <w:rPr>
                <w:rFonts w:eastAsia="仿宋_GB2312"/>
                <w:sz w:val="28"/>
                <w:szCs w:val="28"/>
              </w:rPr>
            </w:pP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hint="eastAsia" w:eastAsia="仿宋_GB2312"/>
                <w:sz w:val="28"/>
                <w:szCs w:val="28"/>
              </w:rPr>
              <w:t>中央监护软件</w:t>
            </w:r>
            <w:r>
              <w:rPr>
                <w:rFonts w:eastAsia="仿宋_GB2312"/>
                <w:sz w:val="28"/>
                <w:szCs w:val="28"/>
              </w:rPr>
              <w:t>软件人机交流界面应清晰明确、易操作，功能设置应明确、易识别，不能过于复杂，否则容易出现错误造成危害。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28" w:hRule="atLeast"/>
          <w:jc w:val="center"/>
        </w:trPr>
        <w:tc>
          <w:tcPr>
            <w:tcW w:w="2448" w:type="dxa"/>
            <w:tcBorders>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错误的数据转换</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图像存储或传输中出现数据错误。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103" w:hRule="atLeast"/>
          <w:jc w:val="center"/>
        </w:trPr>
        <w:tc>
          <w:tcPr>
            <w:tcW w:w="2448" w:type="dxa"/>
            <w:tcBorders>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功能的丧失或变坏</w:t>
            </w:r>
          </w:p>
        </w:tc>
        <w:tc>
          <w:tcPr>
            <w:tcW w:w="6300" w:type="dxa"/>
            <w:tcBorders>
              <w:top w:val="single" w:color="auto" w:sz="4" w:space="0"/>
              <w:left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软件在单一故障状态（如图像存储故障、图像传输失真等）下运行可产生危险。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058" w:hRule="atLeast"/>
          <w:jc w:val="center"/>
        </w:trPr>
        <w:tc>
          <w:tcPr>
            <w:tcW w:w="2448" w:type="dxa"/>
            <w:tcBorders>
              <w:top w:val="single" w:color="auto" w:sz="4" w:space="0"/>
              <w:left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使用错误造成的危害、缺乏注意力、不遵守规则、缺乏常识、违反常规</w:t>
            </w:r>
          </w:p>
        </w:tc>
        <w:tc>
          <w:tcPr>
            <w:tcW w:w="6300" w:type="dxa"/>
            <w:tcBorders>
              <w:top w:val="single" w:color="auto" w:sz="4" w:space="0"/>
              <w:left w:val="single" w:color="auto" w:sz="4" w:space="0"/>
              <w:right w:val="single" w:color="auto" w:sz="4" w:space="0"/>
            </w:tcBorders>
            <w:vAlign w:val="center"/>
          </w:tcPr>
          <w:p>
            <w:pPr>
              <w:adjustRightInd w:val="0"/>
              <w:spacing w:line="380" w:lineRule="exact"/>
              <w:rPr>
                <w:rFonts w:eastAsia="仿宋_GB2312"/>
                <w:sz w:val="28"/>
                <w:szCs w:val="28"/>
              </w:rPr>
            </w:pPr>
            <w:r>
              <w:rPr>
                <w:rFonts w:eastAsia="仿宋_GB2312"/>
                <w:sz w:val="28"/>
                <w:szCs w:val="28"/>
              </w:rPr>
              <w:t>未按操作手册或说明书进行安装、调试、使用，对软件正常使用造成隐患。</w:t>
            </w:r>
          </w:p>
          <w:p>
            <w:pPr>
              <w:spacing w:line="380" w:lineRule="exact"/>
              <w:rPr>
                <w:rFonts w:eastAsia="仿宋_GB2312"/>
                <w:sz w:val="28"/>
                <w:szCs w:val="28"/>
              </w:rPr>
            </w:pPr>
            <w:r>
              <w:rPr>
                <w:rFonts w:eastAsia="仿宋_GB2312"/>
                <w:sz w:val="28"/>
                <w:szCs w:val="28"/>
              </w:rPr>
              <w:t>由不熟练/未经培训的人员使用易造成危害，操作人员必须经过严格培训，否则可能产生各种危害。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58" w:hRule="atLeast"/>
          <w:jc w:val="center"/>
        </w:trPr>
        <w:tc>
          <w:tcPr>
            <w:tcW w:w="8748"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b/>
                <w:sz w:val="28"/>
                <w:szCs w:val="28"/>
              </w:rPr>
              <w:t>C. 信息危害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58"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标记</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软件包装标记不全面、标记不足、标记不正确或不能够清楚易认。如：软件版本、软件名称等标记出现问题，易产生安装、调试错误。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188"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使用说明书、操作说明书</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陈品没有使用说明书和技术说明书，或其内容不全、有缺失。如缺少必要的警告说明、缺少详细的使用方法、缺少必要的技术参数、缺少安装调试说明、缺少运输和贮存环境条件的限制。</w:t>
            </w:r>
          </w:p>
          <w:p>
            <w:pPr>
              <w:spacing w:line="380" w:lineRule="exact"/>
              <w:rPr>
                <w:rFonts w:eastAsia="仿宋_GB2312"/>
                <w:sz w:val="28"/>
                <w:szCs w:val="28"/>
              </w:rPr>
            </w:pPr>
            <w:r>
              <w:rPr>
                <w:rFonts w:eastAsia="仿宋_GB2312"/>
                <w:sz w:val="28"/>
                <w:szCs w:val="28"/>
              </w:rPr>
              <w:t>性能特征的不适当的描述。</w:t>
            </w:r>
          </w:p>
          <w:p>
            <w:pPr>
              <w:spacing w:line="380" w:lineRule="exact"/>
              <w:rPr>
                <w:rFonts w:eastAsia="仿宋_GB2312"/>
                <w:sz w:val="28"/>
                <w:szCs w:val="28"/>
              </w:rPr>
            </w:pPr>
            <w:r>
              <w:rPr>
                <w:rFonts w:eastAsia="仿宋_GB2312"/>
                <w:sz w:val="28"/>
                <w:szCs w:val="28"/>
              </w:rPr>
              <w:t>不适当的预期使用规范。</w:t>
            </w:r>
          </w:p>
          <w:p>
            <w:pPr>
              <w:spacing w:line="380" w:lineRule="exact"/>
              <w:rPr>
                <w:rFonts w:eastAsia="仿宋_GB2312"/>
                <w:sz w:val="28"/>
                <w:szCs w:val="28"/>
              </w:rPr>
            </w:pPr>
            <w:r>
              <w:rPr>
                <w:rFonts w:eastAsia="仿宋_GB2312"/>
                <w:sz w:val="28"/>
                <w:szCs w:val="28"/>
              </w:rPr>
              <w:t>过于复杂的操作说明。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13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与消耗品/附件/其他医疗器械的不相容性</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同</w:t>
            </w:r>
            <w:r>
              <w:rPr>
                <w:rFonts w:hint="eastAsia" w:eastAsia="仿宋_GB2312"/>
                <w:sz w:val="28"/>
                <w:szCs w:val="28"/>
              </w:rPr>
              <w:t>中央监护软件</w:t>
            </w:r>
            <w:r>
              <w:rPr>
                <w:rFonts w:eastAsia="仿宋_GB2312"/>
                <w:sz w:val="28"/>
                <w:szCs w:val="28"/>
              </w:rPr>
              <w:t>一起使用的硬件装置、网络情况与</w:t>
            </w:r>
            <w:r>
              <w:rPr>
                <w:rFonts w:hint="eastAsia" w:eastAsia="仿宋_GB2312"/>
                <w:sz w:val="28"/>
                <w:szCs w:val="28"/>
              </w:rPr>
              <w:t>中央监护软件</w:t>
            </w:r>
            <w:r>
              <w:rPr>
                <w:rFonts w:eastAsia="仿宋_GB2312"/>
                <w:sz w:val="28"/>
                <w:szCs w:val="28"/>
              </w:rPr>
              <w:t>不相适应，将对</w:t>
            </w:r>
            <w:r>
              <w:rPr>
                <w:rFonts w:hint="eastAsia" w:eastAsia="仿宋_GB2312"/>
                <w:sz w:val="28"/>
                <w:szCs w:val="28"/>
              </w:rPr>
              <w:t>中央监护软件</w:t>
            </w:r>
            <w:r>
              <w:rPr>
                <w:rFonts w:eastAsia="仿宋_GB2312"/>
                <w:sz w:val="28"/>
                <w:szCs w:val="28"/>
              </w:rPr>
              <w:t>使用产生危害，如存储空间不足，无法存储新采集图像；如网络故障，无法进行图像传输，可能对患者造成延误诊断。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34"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警告</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警告不恰当、不充分。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69" w:hRule="atLeast"/>
          <w:jc w:val="center"/>
        </w:trPr>
        <w:tc>
          <w:tcPr>
            <w:tcW w:w="2448"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服务和维护规范</w:t>
            </w:r>
          </w:p>
        </w:tc>
        <w:tc>
          <w:tcPr>
            <w:tcW w:w="6300"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仿宋_GB2312"/>
                <w:sz w:val="28"/>
                <w:szCs w:val="28"/>
              </w:rPr>
            </w:pPr>
            <w:r>
              <w:rPr>
                <w:rFonts w:eastAsia="仿宋_GB2312"/>
                <w:sz w:val="28"/>
                <w:szCs w:val="28"/>
              </w:rPr>
              <w:t>服务和维护规范缺少或不适当，包括维护后功能性检查规范的不适当。</w:t>
            </w:r>
          </w:p>
          <w:p>
            <w:pPr>
              <w:spacing w:line="380" w:lineRule="exact"/>
              <w:rPr>
                <w:rFonts w:eastAsia="仿宋_GB2312"/>
                <w:sz w:val="28"/>
                <w:szCs w:val="28"/>
              </w:rPr>
            </w:pPr>
            <w:r>
              <w:rPr>
                <w:rFonts w:eastAsia="仿宋_GB2312"/>
                <w:sz w:val="28"/>
                <w:szCs w:val="28"/>
              </w:rPr>
              <w:t>说明书中应提供维护、校正细则等可供技术人员维护的必须的资料。</w:t>
            </w:r>
          </w:p>
          <w:p>
            <w:pPr>
              <w:spacing w:line="380" w:lineRule="exact"/>
              <w:rPr>
                <w:rFonts w:eastAsia="仿宋_GB2312"/>
                <w:sz w:val="28"/>
                <w:szCs w:val="28"/>
              </w:rPr>
            </w:pPr>
            <w:r>
              <w:rPr>
                <w:rFonts w:eastAsia="仿宋_GB2312"/>
                <w:sz w:val="28"/>
                <w:szCs w:val="28"/>
              </w:rPr>
              <w:t>技术人员在维修后应对软件进行功能性检查，达到相关要求后再投入使用，否则将带来危害。</w:t>
            </w:r>
          </w:p>
        </w:tc>
      </w:tr>
    </w:tbl>
    <w:p>
      <w:pPr>
        <w:spacing w:line="500" w:lineRule="exact"/>
        <w:ind w:firstLine="640" w:firstLineChars="200"/>
        <w:outlineLvl w:val="1"/>
        <w:rPr>
          <w:rFonts w:eastAsia="楷体_GB2312"/>
          <w:sz w:val="32"/>
          <w:szCs w:val="32"/>
        </w:rPr>
      </w:pPr>
      <w:bookmarkStart w:id="11" w:name="_Toc25919"/>
      <w:r>
        <w:rPr>
          <w:rFonts w:eastAsia="楷体_GB2312"/>
          <w:sz w:val="32"/>
          <w:szCs w:val="32"/>
        </w:rPr>
        <w:t>（八）</w:t>
      </w:r>
      <w:r>
        <w:rPr>
          <w:rFonts w:hint="eastAsia" w:eastAsia="楷体_GB2312"/>
          <w:sz w:val="30"/>
          <w:szCs w:val="30"/>
        </w:rPr>
        <w:t>产品技术要求应包括的主要性能指标</w:t>
      </w:r>
      <w:bookmarkEnd w:id="11"/>
    </w:p>
    <w:p>
      <w:pPr>
        <w:spacing w:line="500" w:lineRule="exact"/>
        <w:ind w:firstLine="560" w:firstLineChars="200"/>
        <w:rPr>
          <w:rFonts w:eastAsia="仿宋_GB2312"/>
          <w:sz w:val="28"/>
          <w:szCs w:val="28"/>
        </w:rPr>
      </w:pPr>
      <w:r>
        <w:rPr>
          <w:rFonts w:hint="eastAsia" w:eastAsia="仿宋_GB2312"/>
          <w:sz w:val="28"/>
          <w:szCs w:val="28"/>
        </w:rPr>
        <w:t>中央监护软件的产品技术要求参照《医疗器械软件注册技术审查指导原则》附录I，其中通用要求和质量要求适用。申请人可以在此基础上根据产品自身技术特点制定相应的性能指标，同时应在研究资料中详述相关标准不适用条款的理由。</w:t>
      </w:r>
    </w:p>
    <w:p>
      <w:pPr>
        <w:spacing w:line="500" w:lineRule="exact"/>
        <w:ind w:firstLine="560" w:firstLineChars="200"/>
        <w:rPr>
          <w:rFonts w:eastAsia="仿宋_GB2312"/>
          <w:sz w:val="28"/>
          <w:szCs w:val="28"/>
        </w:rPr>
      </w:pPr>
      <w:r>
        <w:rPr>
          <w:rFonts w:hint="eastAsia" w:eastAsia="仿宋_GB2312"/>
          <w:sz w:val="28"/>
          <w:szCs w:val="28"/>
        </w:rPr>
        <w:t>产品技术要求通用要求的下列条款需要进一步说明：</w:t>
      </w:r>
    </w:p>
    <w:p>
      <w:pPr>
        <w:spacing w:line="500" w:lineRule="exact"/>
        <w:ind w:firstLine="560" w:firstLineChars="200"/>
        <w:rPr>
          <w:rFonts w:eastAsia="仿宋_GB2312"/>
          <w:sz w:val="28"/>
          <w:szCs w:val="28"/>
        </w:rPr>
      </w:pPr>
      <w:r>
        <w:rPr>
          <w:rFonts w:hint="eastAsia" w:eastAsia="仿宋_GB2312"/>
          <w:sz w:val="28"/>
          <w:szCs w:val="28"/>
        </w:rPr>
        <w:t>1. 数据接口</w:t>
      </w:r>
    </w:p>
    <w:p>
      <w:pPr>
        <w:spacing w:line="500" w:lineRule="exact"/>
        <w:ind w:firstLine="560" w:firstLineChars="200"/>
        <w:rPr>
          <w:rFonts w:eastAsia="仿宋_GB2312"/>
          <w:sz w:val="28"/>
          <w:szCs w:val="28"/>
        </w:rPr>
      </w:pPr>
      <w:r>
        <w:rPr>
          <w:rFonts w:hint="eastAsia" w:eastAsia="仿宋_GB2312"/>
          <w:sz w:val="28"/>
          <w:szCs w:val="28"/>
        </w:rPr>
        <w:t>明确通用数据接口（如Dicom、HL7）和/或产品接口（可联合使用的独立软件和医疗器械硬件）。</w:t>
      </w:r>
    </w:p>
    <w:p>
      <w:pPr>
        <w:spacing w:line="500" w:lineRule="exact"/>
        <w:ind w:firstLine="560" w:firstLineChars="200"/>
        <w:rPr>
          <w:rFonts w:eastAsia="仿宋_GB2312"/>
          <w:sz w:val="28"/>
          <w:szCs w:val="28"/>
        </w:rPr>
      </w:pPr>
      <w:r>
        <w:rPr>
          <w:rFonts w:hint="eastAsia" w:eastAsia="仿宋_GB2312"/>
          <w:sz w:val="28"/>
          <w:szCs w:val="28"/>
        </w:rPr>
        <w:t>2. 可靠性</w:t>
      </w:r>
    </w:p>
    <w:p>
      <w:pPr>
        <w:spacing w:line="500" w:lineRule="exact"/>
        <w:ind w:firstLine="560" w:firstLineChars="200"/>
        <w:rPr>
          <w:rFonts w:eastAsia="仿宋_GB2312"/>
          <w:sz w:val="28"/>
          <w:szCs w:val="28"/>
        </w:rPr>
      </w:pPr>
      <w:r>
        <w:rPr>
          <w:rFonts w:hint="eastAsia" w:eastAsia="仿宋_GB2312"/>
          <w:sz w:val="28"/>
          <w:szCs w:val="28"/>
        </w:rPr>
        <w:t>明确出错后数据备份与恢复能力。明确数据传输后数据的一致性和完整性。</w:t>
      </w:r>
    </w:p>
    <w:p>
      <w:pPr>
        <w:spacing w:line="500" w:lineRule="exact"/>
        <w:ind w:firstLine="560" w:firstLineChars="200"/>
        <w:rPr>
          <w:rFonts w:eastAsia="仿宋_GB2312"/>
          <w:sz w:val="28"/>
          <w:szCs w:val="28"/>
        </w:rPr>
      </w:pPr>
      <w:r>
        <w:rPr>
          <w:rFonts w:hint="eastAsia" w:eastAsia="仿宋_GB2312"/>
          <w:sz w:val="28"/>
          <w:szCs w:val="28"/>
        </w:rPr>
        <w:t>3. 效率</w:t>
      </w:r>
    </w:p>
    <w:p>
      <w:pPr>
        <w:spacing w:line="500" w:lineRule="exact"/>
        <w:ind w:firstLine="560" w:firstLineChars="200"/>
        <w:rPr>
          <w:rFonts w:eastAsia="仿宋_GB2312"/>
          <w:sz w:val="32"/>
          <w:szCs w:val="32"/>
        </w:rPr>
      </w:pPr>
      <w:r>
        <w:rPr>
          <w:rFonts w:hint="eastAsia" w:eastAsia="仿宋_GB2312"/>
          <w:sz w:val="28"/>
          <w:szCs w:val="28"/>
        </w:rPr>
        <w:t>明确在指定测试条件下传输数据的时间，测试条件应明确网络环境是单机、局域网或广域网及明确网络条件</w:t>
      </w:r>
      <w:r>
        <w:rPr>
          <w:rFonts w:eastAsia="仿宋_GB2312"/>
          <w:sz w:val="32"/>
          <w:szCs w:val="32"/>
        </w:rPr>
        <w:t>。</w:t>
      </w:r>
    </w:p>
    <w:p>
      <w:pPr>
        <w:numPr>
          <w:ilvl w:val="0"/>
          <w:numId w:val="3"/>
        </w:numPr>
        <w:spacing w:line="500" w:lineRule="exact"/>
        <w:ind w:firstLine="560" w:firstLineChars="200"/>
        <w:rPr>
          <w:rFonts w:eastAsia="仿宋_GB2312"/>
          <w:sz w:val="28"/>
          <w:szCs w:val="28"/>
        </w:rPr>
      </w:pPr>
      <w:r>
        <w:rPr>
          <w:rFonts w:hint="eastAsia" w:eastAsia="仿宋_GB2312"/>
          <w:sz w:val="28"/>
          <w:szCs w:val="28"/>
        </w:rPr>
        <w:t>安全</w:t>
      </w:r>
    </w:p>
    <w:p>
      <w:pPr>
        <w:spacing w:line="500" w:lineRule="exact"/>
        <w:ind w:firstLine="560"/>
        <w:rPr>
          <w:rFonts w:hint="eastAsia" w:eastAsia="仿宋_GB2312"/>
          <w:sz w:val="28"/>
          <w:szCs w:val="28"/>
        </w:rPr>
      </w:pPr>
      <w:r>
        <w:rPr>
          <w:rFonts w:hint="eastAsia" w:eastAsia="仿宋_GB2312"/>
          <w:sz w:val="28"/>
          <w:szCs w:val="28"/>
        </w:rPr>
        <w:t>明确在进入软件前进行用户权限验证要求，与监护仪进行数据传输时需要权限信息认证要求以及是否提供日志文件（重要操作和系统日志）等。</w:t>
      </w:r>
    </w:p>
    <w:p>
      <w:pPr>
        <w:pStyle w:val="24"/>
        <w:numPr>
          <w:ilvl w:val="0"/>
          <w:numId w:val="3"/>
        </w:numPr>
        <w:spacing w:line="500" w:lineRule="exact"/>
        <w:ind w:firstLineChars="0"/>
        <w:rPr>
          <w:rFonts w:hint="eastAsia" w:eastAsia="仿宋_GB2312"/>
          <w:sz w:val="28"/>
          <w:szCs w:val="28"/>
        </w:rPr>
      </w:pPr>
      <w:r>
        <w:rPr>
          <w:rFonts w:hint="eastAsia" w:eastAsia="仿宋_GB2312"/>
          <w:sz w:val="28"/>
          <w:szCs w:val="28"/>
        </w:rPr>
        <w:t>报警</w:t>
      </w:r>
    </w:p>
    <w:p>
      <w:pPr>
        <w:spacing w:line="500" w:lineRule="exact"/>
        <w:ind w:firstLine="560" w:firstLineChars="200"/>
        <w:rPr>
          <w:rFonts w:eastAsia="仿宋_GB2312"/>
          <w:sz w:val="28"/>
          <w:szCs w:val="28"/>
        </w:rPr>
      </w:pPr>
      <w:r>
        <w:rPr>
          <w:rFonts w:hint="eastAsia" w:eastAsia="仿宋_GB2312"/>
          <w:sz w:val="28"/>
          <w:szCs w:val="28"/>
        </w:rPr>
        <w:t>产品应符合YY0709《医用电气设备第 1-8 部分：安全通用要求并列标准：通用要求，医用电气设备和医用电气系统中报警系统的测试和指南》的适用要求。</w:t>
      </w:r>
    </w:p>
    <w:p>
      <w:pPr>
        <w:spacing w:line="520" w:lineRule="exact"/>
        <w:ind w:firstLine="640" w:firstLineChars="200"/>
        <w:outlineLvl w:val="1"/>
        <w:rPr>
          <w:rFonts w:eastAsia="楷体_GB2312"/>
          <w:sz w:val="32"/>
          <w:szCs w:val="32"/>
        </w:rPr>
      </w:pPr>
      <w:bookmarkStart w:id="12" w:name="_Toc31786"/>
      <w:r>
        <w:rPr>
          <w:rFonts w:eastAsia="楷体_GB2312"/>
          <w:sz w:val="32"/>
          <w:szCs w:val="32"/>
        </w:rPr>
        <w:t>（九）</w:t>
      </w:r>
      <w:r>
        <w:rPr>
          <w:rFonts w:hint="eastAsia" w:eastAsia="楷体_GB2312"/>
          <w:sz w:val="30"/>
          <w:szCs w:val="30"/>
        </w:rPr>
        <w:t>同一注册单元内注册检验代表产品确定原则和实例</w:t>
      </w:r>
      <w:bookmarkEnd w:id="12"/>
    </w:p>
    <w:p>
      <w:pPr>
        <w:spacing w:line="500" w:lineRule="exact"/>
        <w:ind w:firstLine="560" w:firstLineChars="200"/>
        <w:rPr>
          <w:rFonts w:eastAsia="仿宋_GB2312"/>
          <w:sz w:val="28"/>
          <w:szCs w:val="28"/>
        </w:rPr>
      </w:pPr>
      <w:r>
        <w:rPr>
          <w:rFonts w:hint="eastAsia" w:eastAsia="仿宋_GB2312"/>
          <w:sz w:val="28"/>
          <w:szCs w:val="28"/>
        </w:rPr>
        <w:t>中央监护软件的检测单元（即同一注册单元内注册检验代表产品）原则上与注册单元相一致，但如有多个运行环境（架构）或多个发布版本，则每个互不兼容的运行环境（架构）或每个互不涵盖的发布版本均应作为一个检测单元。检测产品的选取应考虑产品功能、性能、预期用途、结构等。</w:t>
      </w:r>
    </w:p>
    <w:p>
      <w:pPr>
        <w:spacing w:line="500" w:lineRule="exact"/>
        <w:ind w:firstLine="560" w:firstLineChars="200"/>
        <w:rPr>
          <w:rFonts w:eastAsia="仿宋_GB2312"/>
          <w:sz w:val="28"/>
          <w:szCs w:val="28"/>
        </w:rPr>
      </w:pPr>
      <w:r>
        <w:rPr>
          <w:rFonts w:hint="eastAsia" w:eastAsia="仿宋_GB2312"/>
          <w:sz w:val="28"/>
          <w:szCs w:val="28"/>
        </w:rPr>
        <w:t>对于中央监护软件来说，由于服务器和客户端可能支持在多种环境中运行，因此应按照产品所声明的多种运行环境确定检测单元。</w:t>
      </w:r>
    </w:p>
    <w:p>
      <w:pPr>
        <w:spacing w:line="500" w:lineRule="exact"/>
        <w:ind w:firstLine="560" w:firstLineChars="200"/>
        <w:rPr>
          <w:rFonts w:eastAsia="仿宋_GB2312"/>
          <w:sz w:val="28"/>
          <w:szCs w:val="28"/>
        </w:rPr>
      </w:pPr>
      <w:r>
        <w:rPr>
          <w:rFonts w:hint="eastAsia" w:eastAsia="仿宋_GB2312"/>
          <w:sz w:val="28"/>
          <w:szCs w:val="28"/>
        </w:rPr>
        <w:t>对于服务器端，产品所支持的互不兼容的操作系统（如Windows，Mac OS，Linux等）应分别作为一个检测单元。</w:t>
      </w:r>
    </w:p>
    <w:p>
      <w:pPr>
        <w:spacing w:line="500" w:lineRule="exact"/>
        <w:ind w:firstLine="560" w:firstLineChars="200"/>
        <w:rPr>
          <w:rFonts w:eastAsia="仿宋_GB2312"/>
          <w:sz w:val="28"/>
          <w:szCs w:val="28"/>
        </w:rPr>
      </w:pPr>
      <w:r>
        <w:rPr>
          <w:rFonts w:hint="eastAsia" w:eastAsia="仿宋_GB2312"/>
          <w:sz w:val="28"/>
          <w:szCs w:val="28"/>
        </w:rPr>
        <w:t>对于客户端，按照运行方式可分为原生应用（如C/S架构）。对于原生应用，所支持的互不兼容的软件环境（如Windows，Mac OS，Linux等）应分别作为一个检测单元，对于Web浏览器，所支持的互不兼容的浏览器（如IE、Chrome、Firefox等）应分别作为一个检测单元。</w:t>
      </w:r>
    </w:p>
    <w:p>
      <w:pPr>
        <w:numPr>
          <w:ilvl w:val="0"/>
          <w:numId w:val="4"/>
        </w:numPr>
        <w:spacing w:line="520" w:lineRule="exact"/>
        <w:ind w:right="-67" w:rightChars="-32" w:firstLine="600" w:firstLineChars="200"/>
        <w:outlineLvl w:val="1"/>
        <w:rPr>
          <w:rFonts w:eastAsia="楷体_GB2312"/>
          <w:sz w:val="30"/>
          <w:szCs w:val="30"/>
        </w:rPr>
      </w:pPr>
      <w:bookmarkStart w:id="13" w:name="_Toc19336"/>
      <w:r>
        <w:rPr>
          <w:rFonts w:eastAsia="楷体_GB2312"/>
          <w:sz w:val="30"/>
          <w:szCs w:val="30"/>
        </w:rPr>
        <w:t>产品生产制造相关要求</w:t>
      </w:r>
      <w:bookmarkEnd w:id="13"/>
    </w:p>
    <w:p>
      <w:pPr>
        <w:spacing w:line="500" w:lineRule="exact"/>
        <w:ind w:firstLine="560" w:firstLineChars="200"/>
        <w:rPr>
          <w:rFonts w:eastAsia="仿宋_GB2312"/>
          <w:sz w:val="28"/>
          <w:szCs w:val="28"/>
        </w:rPr>
      </w:pPr>
      <w:r>
        <w:rPr>
          <w:rFonts w:hint="eastAsia" w:eastAsia="仿宋_GB2312"/>
          <w:sz w:val="28"/>
          <w:szCs w:val="28"/>
        </w:rPr>
        <w:t>产品生产制造相关要求包括：生产成果、软件生存周期过程、生产场地。</w:t>
      </w:r>
    </w:p>
    <w:p>
      <w:pPr>
        <w:spacing w:line="500" w:lineRule="exact"/>
        <w:ind w:firstLine="560" w:firstLineChars="200"/>
        <w:rPr>
          <w:rFonts w:eastAsia="仿宋_GB2312"/>
          <w:sz w:val="28"/>
          <w:szCs w:val="28"/>
        </w:rPr>
      </w:pPr>
      <w:r>
        <w:rPr>
          <w:rFonts w:hint="eastAsia" w:eastAsia="仿宋_GB2312"/>
          <w:sz w:val="28"/>
          <w:szCs w:val="28"/>
        </w:rPr>
        <w:t>生产成果：包括交付方式和生产成果具体内容。交付方式应描述软件载体（如光盘、U盘等）；生产成果应描述交付用户的所有内容，如用户手册、产品说明书、出厂检验合格证、授权书（授权码）、软件载体等。</w:t>
      </w:r>
    </w:p>
    <w:p>
      <w:pPr>
        <w:spacing w:line="500" w:lineRule="exact"/>
        <w:ind w:firstLine="560" w:firstLineChars="200"/>
        <w:rPr>
          <w:rFonts w:eastAsia="仿宋_GB2312"/>
          <w:sz w:val="28"/>
          <w:szCs w:val="28"/>
        </w:rPr>
      </w:pPr>
      <w:r>
        <w:rPr>
          <w:rFonts w:hint="eastAsia" w:eastAsia="仿宋_GB2312"/>
          <w:sz w:val="28"/>
          <w:szCs w:val="28"/>
        </w:rPr>
        <w:t>软件生存周期过程：应描述软件生存周期过程，并识别出质量保证措施。</w:t>
      </w:r>
    </w:p>
    <w:p>
      <w:pPr>
        <w:spacing w:line="500" w:lineRule="exact"/>
        <w:ind w:firstLine="560" w:firstLineChars="200"/>
        <w:rPr>
          <w:rFonts w:eastAsia="仿宋_GB2312"/>
          <w:sz w:val="28"/>
          <w:szCs w:val="28"/>
        </w:rPr>
      </w:pPr>
      <w:r>
        <w:rPr>
          <w:rFonts w:hint="eastAsia" w:eastAsia="仿宋_GB2312"/>
          <w:sz w:val="28"/>
          <w:szCs w:val="28"/>
        </w:rPr>
        <w:t>生产场地：应详细说明产品生产场地地址、生产工艺布局、生产环境要求及周边情况。如有多个研制、生产场地，应当概述每个研制、生产场地的实际情况。</w:t>
      </w:r>
    </w:p>
    <w:p>
      <w:pPr>
        <w:spacing w:line="520" w:lineRule="exact"/>
        <w:ind w:right="-67" w:rightChars="-32" w:firstLine="480" w:firstLineChars="150"/>
        <w:outlineLvl w:val="1"/>
        <w:rPr>
          <w:rFonts w:eastAsia="楷体_GB2312"/>
          <w:sz w:val="32"/>
          <w:szCs w:val="32"/>
        </w:rPr>
      </w:pPr>
      <w:bookmarkStart w:id="14" w:name="_Toc14464"/>
      <w:r>
        <w:rPr>
          <w:rFonts w:eastAsia="楷体_GB2312"/>
          <w:sz w:val="32"/>
          <w:szCs w:val="32"/>
        </w:rPr>
        <w:t>（十一）</w:t>
      </w:r>
      <w:r>
        <w:rPr>
          <w:rFonts w:eastAsia="楷体_GB2312"/>
          <w:sz w:val="30"/>
          <w:szCs w:val="30"/>
        </w:rPr>
        <w:t>产品的临床评价细化要求</w:t>
      </w:r>
      <w:bookmarkEnd w:id="14"/>
    </w:p>
    <w:p>
      <w:pPr>
        <w:spacing w:line="500" w:lineRule="exact"/>
        <w:ind w:firstLine="560" w:firstLineChars="200"/>
        <w:rPr>
          <w:rFonts w:eastAsia="仿宋_GB2312"/>
          <w:sz w:val="28"/>
          <w:szCs w:val="28"/>
        </w:rPr>
      </w:pPr>
      <w:r>
        <w:rPr>
          <w:rFonts w:hint="eastAsia" w:eastAsia="仿宋_GB2312"/>
          <w:sz w:val="28"/>
          <w:szCs w:val="28"/>
        </w:rPr>
        <w:t>注册申请人应根据《免于进行临床试验的第二类医疗器械目录》、《医疗器械临床评价技术指导原则》及《医疗器械软件注册技术审查指导原则》的相关要求提交中央监护软件的临床评价资料。</w:t>
      </w:r>
    </w:p>
    <w:p>
      <w:pPr>
        <w:spacing w:line="500" w:lineRule="exact"/>
        <w:ind w:firstLine="560" w:firstLineChars="200"/>
        <w:rPr>
          <w:rFonts w:hint="eastAsia" w:eastAsia="仿宋_GB2312"/>
          <w:sz w:val="28"/>
          <w:szCs w:val="28"/>
        </w:rPr>
      </w:pPr>
      <w:r>
        <w:rPr>
          <w:rFonts w:hint="eastAsia" w:eastAsia="仿宋_GB2312"/>
          <w:sz w:val="28"/>
          <w:szCs w:val="28"/>
        </w:rPr>
        <w:t>中央监护软件属于《免于进行临床试验的第二类医疗器械目录》中的医学影像、数据传输处理软件：如产品用于实现医学数据的获取、传输、显示和报警，不包括自动诊断部分功能，预期用途在《免于进行临床试验的第二类医疗器械目录》规定的范围内，则免于进行临床试验。</w:t>
      </w:r>
    </w:p>
    <w:p>
      <w:pPr>
        <w:spacing w:line="500" w:lineRule="exact"/>
        <w:ind w:firstLine="560" w:firstLineChars="200"/>
        <w:rPr>
          <w:rFonts w:hint="eastAsia" w:eastAsia="仿宋_GB2312"/>
          <w:sz w:val="28"/>
          <w:szCs w:val="28"/>
        </w:rPr>
      </w:pPr>
      <w:r>
        <w:rPr>
          <w:rFonts w:hint="eastAsia" w:eastAsia="仿宋_GB2312"/>
          <w:sz w:val="28"/>
          <w:szCs w:val="28"/>
        </w:rPr>
        <w:t>若产品适用范围超出《免于进行临床试验的第二类医疗器械目录》规定的范围，或者含有新的核心算法或功能（如</w:t>
      </w:r>
      <w:r>
        <w:rPr>
          <w:rFonts w:hint="eastAsia" w:eastAsia="仿宋_GB2312"/>
          <w:sz w:val="28"/>
          <w:szCs w:val="28"/>
          <w:lang w:eastAsia="zh-CN"/>
        </w:rPr>
        <w:t>，</w:t>
      </w:r>
      <w:r>
        <w:rPr>
          <w:rFonts w:hint="eastAsia" w:eastAsia="仿宋_GB2312"/>
          <w:sz w:val="28"/>
          <w:szCs w:val="28"/>
        </w:rPr>
        <w:t>有中央监护软件并不是对所有的超正常范围数据都报警，而是引入自身算法进行判定后报警），则需要依据《医疗器械临床评价技术指导原则》提供临床试验资料或通过同品种对比的临床评价资料。</w:t>
      </w:r>
    </w:p>
    <w:p>
      <w:pPr>
        <w:spacing w:line="500" w:lineRule="exact"/>
        <w:ind w:firstLine="560" w:firstLineChars="200"/>
        <w:rPr>
          <w:rFonts w:hint="eastAsia" w:eastAsia="仿宋_GB2312"/>
          <w:sz w:val="28"/>
          <w:szCs w:val="28"/>
        </w:rPr>
      </w:pPr>
      <w:r>
        <w:rPr>
          <w:rFonts w:hint="eastAsia" w:eastAsia="仿宋_GB2312"/>
          <w:sz w:val="28"/>
          <w:szCs w:val="28"/>
        </w:rPr>
        <w:t>进行临床试验应按照《医疗器械临床实验质量管理规范》（国家食品药品监督管理总局令第25号）开展临床实验。应提交临床试验方案，临床试验协议，临床试验报告以及伦理委员会批件。申请人应当按照试验用产品的风险，预期用途等组织制定科学、合理的临床试验方案。临床试验的设计应紧密围绕产品的特点进行，从预期临床效果，应用等充分验证产品的安全性及有效性。若通过同品种医疗器械临床数据进行临床评价，应按照《医疗器械临床评价技术指导原则》的要求提交临床评价资料。</w:t>
      </w:r>
    </w:p>
    <w:p>
      <w:pPr>
        <w:numPr>
          <w:ilvl w:val="0"/>
          <w:numId w:val="5"/>
        </w:numPr>
        <w:ind w:firstLine="600" w:firstLineChars="200"/>
        <w:outlineLvl w:val="1"/>
        <w:rPr>
          <w:rFonts w:eastAsia="楷体_GB2312"/>
          <w:color w:val="auto"/>
          <w:sz w:val="30"/>
          <w:szCs w:val="30"/>
        </w:rPr>
      </w:pPr>
      <w:bookmarkStart w:id="15" w:name="_Toc23057"/>
      <w:r>
        <w:rPr>
          <w:rFonts w:eastAsia="楷体_GB2312"/>
          <w:color w:val="auto"/>
          <w:sz w:val="30"/>
          <w:szCs w:val="30"/>
        </w:rPr>
        <w:t>产品的不良事件历史记录</w:t>
      </w:r>
      <w:bookmarkEnd w:id="15"/>
    </w:p>
    <w:p>
      <w:pPr>
        <w:spacing w:line="500" w:lineRule="exact"/>
        <w:ind w:firstLine="560" w:firstLineChars="200"/>
        <w:rPr>
          <w:rFonts w:eastAsia="仿宋_GB2312"/>
          <w:sz w:val="28"/>
          <w:szCs w:val="28"/>
        </w:rPr>
      </w:pPr>
      <w:r>
        <w:rPr>
          <w:rFonts w:hint="eastAsia" w:eastAsia="仿宋_GB2312"/>
          <w:sz w:val="28"/>
          <w:szCs w:val="28"/>
        </w:rPr>
        <w:t>申请人在风险分析时应关注同品种医疗器械产品的不良事件历史记录。</w:t>
      </w:r>
    </w:p>
    <w:p>
      <w:pPr>
        <w:spacing w:line="520" w:lineRule="exact"/>
        <w:ind w:left="560" w:right="-67" w:rightChars="-32"/>
        <w:outlineLvl w:val="1"/>
        <w:rPr>
          <w:rFonts w:hint="eastAsia" w:eastAsia="仿宋_GB2312"/>
          <w:sz w:val="28"/>
          <w:szCs w:val="28"/>
        </w:rPr>
      </w:pPr>
      <w:bookmarkStart w:id="16" w:name="_Toc3812"/>
      <w:r>
        <w:rPr>
          <w:rFonts w:hint="eastAsia" w:eastAsia="仿宋_GB2312"/>
          <w:sz w:val="28"/>
          <w:szCs w:val="28"/>
        </w:rPr>
        <w:t>1.FDA 关于中央监护（系统）软件不良事件报告情况</w:t>
      </w:r>
    </w:p>
    <w:p>
      <w:pPr>
        <w:spacing w:line="520" w:lineRule="exact"/>
        <w:ind w:left="560" w:right="-67" w:rightChars="-32"/>
        <w:outlineLvl w:val="1"/>
        <w:rPr>
          <w:rFonts w:hint="eastAsia" w:eastAsia="仿宋_GB2312"/>
          <w:sz w:val="28"/>
          <w:szCs w:val="28"/>
        </w:rPr>
      </w:pPr>
      <w:r>
        <w:rPr>
          <w:rFonts w:hint="eastAsia" w:eastAsia="仿宋_GB2312"/>
          <w:sz w:val="28"/>
          <w:szCs w:val="28"/>
          <w:lang w:val="en-US" w:eastAsia="zh-CN"/>
        </w:rPr>
        <w:t xml:space="preserve">    </w:t>
      </w:r>
      <w:r>
        <w:rPr>
          <w:rFonts w:hint="eastAsia" w:eastAsia="仿宋_GB2312"/>
          <w:sz w:val="28"/>
          <w:szCs w:val="28"/>
        </w:rPr>
        <w:t>通过MAUDE数据库检索，查询中央监护（系统）软件（Central Station Software）近一年（2015.8.1-2016.7.31）不良事件报告情况，共查询到不良事件报告1080份。其中，设备故障938份、损伤53份、死亡83份，其他6份。</w:t>
      </w:r>
    </w:p>
    <w:p>
      <w:pPr>
        <w:spacing w:line="520" w:lineRule="exact"/>
        <w:ind w:left="560" w:right="-67" w:rightChars="-32"/>
        <w:outlineLvl w:val="1"/>
        <w:rPr>
          <w:rFonts w:hint="eastAsia" w:eastAsia="仿宋_GB2312"/>
          <w:sz w:val="28"/>
          <w:szCs w:val="28"/>
        </w:rPr>
      </w:pPr>
      <w:r>
        <w:rPr>
          <w:rFonts w:hint="eastAsia" w:eastAsia="仿宋_GB2312"/>
          <w:sz w:val="28"/>
          <w:szCs w:val="28"/>
        </w:rPr>
        <w:t>（1）设备故障</w:t>
      </w:r>
    </w:p>
    <w:p>
      <w:pPr>
        <w:spacing w:line="520" w:lineRule="exact"/>
        <w:ind w:left="560" w:right="-67" w:rightChars="-32"/>
        <w:outlineLvl w:val="1"/>
        <w:rPr>
          <w:rFonts w:hint="eastAsia" w:eastAsia="仿宋_GB2312"/>
          <w:sz w:val="28"/>
          <w:szCs w:val="28"/>
        </w:rPr>
      </w:pPr>
      <w:r>
        <w:rPr>
          <w:rFonts w:hint="eastAsia" w:eastAsia="仿宋_GB2312"/>
          <w:sz w:val="28"/>
          <w:szCs w:val="28"/>
        </w:rPr>
        <w:t>FDA共收到938份故障报告，故障原因主要包括软件不兼容、显示不准确、无法读取监护患者相关数据、监护软件自动重启、监护屏幕显示故障（黑屏、白屏或屏幕较暗）等。</w:t>
      </w:r>
    </w:p>
    <w:p>
      <w:pPr>
        <w:spacing w:line="520" w:lineRule="exact"/>
        <w:ind w:left="560" w:right="-67" w:rightChars="-32"/>
        <w:outlineLvl w:val="1"/>
        <w:rPr>
          <w:rFonts w:hint="eastAsia" w:eastAsia="仿宋_GB2312"/>
          <w:sz w:val="28"/>
          <w:szCs w:val="28"/>
        </w:rPr>
      </w:pPr>
      <w:r>
        <w:rPr>
          <w:rFonts w:hint="eastAsia" w:eastAsia="仿宋_GB2312"/>
          <w:sz w:val="28"/>
          <w:szCs w:val="28"/>
        </w:rPr>
        <w:t>（2）损伤</w:t>
      </w:r>
    </w:p>
    <w:p>
      <w:pPr>
        <w:spacing w:line="520" w:lineRule="exact"/>
        <w:ind w:left="560" w:right="-67" w:rightChars="-32"/>
        <w:outlineLvl w:val="1"/>
        <w:rPr>
          <w:rFonts w:hint="eastAsia" w:eastAsia="仿宋_GB2312"/>
          <w:sz w:val="28"/>
          <w:szCs w:val="28"/>
        </w:rPr>
      </w:pPr>
      <w:r>
        <w:rPr>
          <w:rFonts w:hint="eastAsia" w:eastAsia="仿宋_GB2312"/>
          <w:sz w:val="28"/>
          <w:szCs w:val="28"/>
        </w:rPr>
        <w:t>FDA共收到53份损伤报告，主要是报警功能失效、报警信息错误、无法读取患者监护信息等。</w:t>
      </w:r>
    </w:p>
    <w:p>
      <w:pPr>
        <w:spacing w:line="520" w:lineRule="exact"/>
        <w:ind w:left="560" w:right="-67" w:rightChars="-32"/>
        <w:outlineLvl w:val="1"/>
        <w:rPr>
          <w:rFonts w:hint="eastAsia" w:eastAsia="仿宋_GB2312"/>
          <w:sz w:val="28"/>
          <w:szCs w:val="28"/>
        </w:rPr>
      </w:pPr>
      <w:r>
        <w:rPr>
          <w:rFonts w:hint="eastAsia" w:eastAsia="仿宋_GB2312"/>
          <w:sz w:val="28"/>
          <w:szCs w:val="28"/>
        </w:rPr>
        <w:t>（3）死亡</w:t>
      </w:r>
    </w:p>
    <w:p>
      <w:pPr>
        <w:spacing w:line="520" w:lineRule="exact"/>
        <w:ind w:left="560" w:right="-67" w:rightChars="-32"/>
        <w:outlineLvl w:val="1"/>
        <w:rPr>
          <w:rFonts w:hint="eastAsia" w:eastAsia="仿宋_GB2312"/>
          <w:sz w:val="28"/>
          <w:szCs w:val="28"/>
        </w:rPr>
      </w:pPr>
      <w:r>
        <w:rPr>
          <w:rFonts w:hint="eastAsia" w:eastAsia="仿宋_GB2312"/>
          <w:sz w:val="28"/>
          <w:szCs w:val="28"/>
        </w:rPr>
        <w:t>FDA共收到83份死亡报告，主要是报警功能故障、报警功能失效等。</w:t>
      </w:r>
    </w:p>
    <w:p>
      <w:pPr>
        <w:spacing w:line="520" w:lineRule="exact"/>
        <w:ind w:left="560" w:right="-67" w:rightChars="-32"/>
        <w:outlineLvl w:val="1"/>
        <w:rPr>
          <w:rFonts w:hint="eastAsia" w:eastAsia="仿宋_GB2312"/>
          <w:sz w:val="28"/>
          <w:szCs w:val="28"/>
        </w:rPr>
      </w:pPr>
      <w:r>
        <w:rPr>
          <w:rFonts w:hint="eastAsia" w:eastAsia="仿宋_GB2312"/>
          <w:sz w:val="28"/>
          <w:szCs w:val="28"/>
        </w:rPr>
        <w:t>2.国内关于中央监护（系统）软件召回情况</w:t>
      </w:r>
    </w:p>
    <w:p>
      <w:pPr>
        <w:spacing w:line="520" w:lineRule="exact"/>
        <w:ind w:left="560" w:right="-67" w:rightChars="-32"/>
        <w:outlineLvl w:val="1"/>
        <w:rPr>
          <w:rFonts w:hint="eastAsia" w:eastAsia="仿宋_GB2312"/>
          <w:sz w:val="28"/>
          <w:szCs w:val="28"/>
        </w:rPr>
      </w:pPr>
      <w:r>
        <w:rPr>
          <w:rFonts w:hint="eastAsia" w:eastAsia="仿宋_GB2312"/>
          <w:sz w:val="28"/>
          <w:szCs w:val="28"/>
          <w:lang w:val="en-US" w:eastAsia="zh-CN"/>
        </w:rPr>
        <w:t xml:space="preserve">    </w:t>
      </w:r>
      <w:r>
        <w:rPr>
          <w:rFonts w:hint="eastAsia" w:eastAsia="仿宋_GB2312"/>
          <w:sz w:val="28"/>
          <w:szCs w:val="28"/>
        </w:rPr>
        <w:t>国内有1例中央监护（系统）软件召回事件，召回原因是：产品存在响应延迟，可能导致医务人员不能马上掌握患者的状态变化，日本光电工业株式会社主动召回相关产品，召回级别为II级。</w:t>
      </w:r>
    </w:p>
    <w:p>
      <w:pPr>
        <w:spacing w:line="520" w:lineRule="exact"/>
        <w:ind w:left="560" w:right="-67" w:rightChars="-32"/>
        <w:outlineLvl w:val="1"/>
        <w:rPr>
          <w:rFonts w:hint="eastAsia" w:eastAsia="仿宋_GB2312"/>
          <w:sz w:val="28"/>
          <w:szCs w:val="28"/>
        </w:rPr>
      </w:pPr>
      <w:r>
        <w:rPr>
          <w:rFonts w:hint="eastAsia" w:eastAsia="仿宋_GB2312"/>
          <w:sz w:val="28"/>
          <w:szCs w:val="28"/>
        </w:rPr>
        <w:t>3.辽宁省中央监护（系统）软件不良事件报告情况</w:t>
      </w:r>
    </w:p>
    <w:p>
      <w:pPr>
        <w:spacing w:line="520" w:lineRule="exact"/>
        <w:ind w:left="560" w:right="-67" w:rightChars="-32" w:firstLine="560"/>
        <w:outlineLvl w:val="1"/>
        <w:rPr>
          <w:rFonts w:hint="eastAsia" w:eastAsia="仿宋_GB2312"/>
          <w:sz w:val="28"/>
          <w:szCs w:val="28"/>
        </w:rPr>
      </w:pPr>
      <w:r>
        <w:rPr>
          <w:rFonts w:hint="eastAsia" w:eastAsia="仿宋_GB2312"/>
          <w:sz w:val="28"/>
          <w:szCs w:val="28"/>
        </w:rPr>
        <w:t>截至2015年7月31日，辽宁省共收集中央监护（系统）软件不良事件报告5份。不良事件情况为：无法正确显示心电波形、心电波形异常；心电图回放时，无法播放某患者回访记录；监测的过程中图像冻结；监护仪不显示数值（不排除监护设备硬件故障原因）。</w:t>
      </w:r>
    </w:p>
    <w:p>
      <w:pPr>
        <w:spacing w:line="520" w:lineRule="exact"/>
        <w:ind w:left="560" w:right="-67" w:rightChars="-32" w:firstLine="560"/>
        <w:outlineLvl w:val="1"/>
        <w:rPr>
          <w:rFonts w:eastAsia="楷体_GB2312"/>
          <w:sz w:val="32"/>
          <w:szCs w:val="32"/>
        </w:rPr>
      </w:pPr>
      <w:bookmarkStart w:id="22" w:name="_GoBack"/>
      <w:bookmarkEnd w:id="22"/>
      <w:r>
        <w:rPr>
          <w:rFonts w:eastAsia="楷体_GB2312"/>
          <w:sz w:val="32"/>
          <w:szCs w:val="32"/>
        </w:rPr>
        <w:t>（十三）</w:t>
      </w:r>
      <w:r>
        <w:rPr>
          <w:rFonts w:eastAsia="楷体_GB2312"/>
          <w:sz w:val="30"/>
          <w:szCs w:val="30"/>
        </w:rPr>
        <w:t>产品说明书和标签要求</w:t>
      </w:r>
      <w:bookmarkEnd w:id="16"/>
    </w:p>
    <w:p>
      <w:pPr>
        <w:spacing w:line="500" w:lineRule="exact"/>
        <w:ind w:firstLine="560" w:firstLineChars="200"/>
        <w:rPr>
          <w:rFonts w:eastAsia="仿宋_GB2312"/>
          <w:sz w:val="28"/>
          <w:szCs w:val="28"/>
        </w:rPr>
      </w:pPr>
      <w:r>
        <w:rPr>
          <w:rFonts w:hint="eastAsia" w:eastAsia="仿宋_GB2312"/>
          <w:sz w:val="28"/>
          <w:szCs w:val="28"/>
        </w:rPr>
        <w:t>说明书和标签应符合《医疗器械说明书和标签管理规定》、标准等相关的法规、规范性文件的要求。说明书应体现软件全部功能（包含安全功能）和实现要求（如，软硬件配置环境），并明确软件发布版本。</w:t>
      </w:r>
    </w:p>
    <w:p>
      <w:pPr>
        <w:spacing w:line="520" w:lineRule="exact"/>
        <w:ind w:right="-67" w:rightChars="-32" w:firstLine="640" w:firstLineChars="200"/>
        <w:outlineLvl w:val="1"/>
        <w:rPr>
          <w:rFonts w:eastAsia="楷体_GB2312"/>
          <w:sz w:val="32"/>
          <w:szCs w:val="32"/>
        </w:rPr>
      </w:pPr>
      <w:bookmarkStart w:id="17" w:name="_Toc27396"/>
      <w:r>
        <w:rPr>
          <w:rFonts w:eastAsia="楷体_GB2312"/>
          <w:sz w:val="32"/>
          <w:szCs w:val="32"/>
        </w:rPr>
        <w:t>（十四）</w:t>
      </w:r>
      <w:r>
        <w:rPr>
          <w:rFonts w:eastAsia="楷体_GB2312"/>
          <w:sz w:val="30"/>
          <w:szCs w:val="30"/>
        </w:rPr>
        <w:t>产品研究及其他要求</w:t>
      </w:r>
      <w:bookmarkEnd w:id="17"/>
    </w:p>
    <w:p>
      <w:pPr>
        <w:spacing w:line="500" w:lineRule="exact"/>
        <w:ind w:firstLine="560" w:firstLineChars="200"/>
        <w:rPr>
          <w:rFonts w:hint="eastAsia" w:eastAsia="仿宋_GB2312"/>
          <w:sz w:val="28"/>
          <w:szCs w:val="28"/>
        </w:rPr>
      </w:pPr>
      <w:r>
        <w:rPr>
          <w:rFonts w:hint="eastAsia" w:eastAsia="仿宋_GB2312"/>
          <w:sz w:val="28"/>
          <w:szCs w:val="28"/>
        </w:rPr>
        <w:t>中央监护软件的软件安全性级别为C级；申请人应参照《医疗器械软件注册技术审查指导原则》关于独立软件的相关要求提交相应的软件描述文档。</w:t>
      </w:r>
    </w:p>
    <w:p>
      <w:pPr>
        <w:spacing w:line="520" w:lineRule="exact"/>
        <w:ind w:right="-67" w:rightChars="-32" w:firstLine="640" w:firstLineChars="200"/>
        <w:outlineLvl w:val="0"/>
        <w:rPr>
          <w:rFonts w:eastAsia="黑体"/>
          <w:sz w:val="32"/>
          <w:szCs w:val="32"/>
        </w:rPr>
      </w:pPr>
      <w:bookmarkStart w:id="18" w:name="_Toc20813"/>
      <w:bookmarkStart w:id="19" w:name="_Toc21052"/>
      <w:r>
        <w:rPr>
          <w:rFonts w:eastAsia="黑体"/>
          <w:sz w:val="32"/>
          <w:szCs w:val="32"/>
        </w:rPr>
        <w:t>三、审查关注点</w:t>
      </w:r>
      <w:bookmarkEnd w:id="18"/>
      <w:bookmarkEnd w:id="19"/>
    </w:p>
    <w:p>
      <w:pPr>
        <w:spacing w:line="500" w:lineRule="exact"/>
        <w:ind w:firstLine="560" w:firstLineChars="200"/>
        <w:rPr>
          <w:rFonts w:eastAsia="仿宋_GB2312"/>
          <w:sz w:val="28"/>
          <w:szCs w:val="28"/>
        </w:rPr>
      </w:pPr>
      <w:r>
        <w:rPr>
          <w:rFonts w:hint="eastAsia" w:eastAsia="仿宋_GB2312"/>
          <w:sz w:val="28"/>
          <w:szCs w:val="28"/>
        </w:rPr>
        <w:t>（一）风险管理资料是否已经完整列举产品的主要风险，并通过风险控制措施使产品的风险降至合理可接受的程度之内。</w:t>
      </w:r>
    </w:p>
    <w:p>
      <w:pPr>
        <w:spacing w:line="500" w:lineRule="exact"/>
        <w:ind w:firstLine="560" w:firstLineChars="200"/>
        <w:rPr>
          <w:rFonts w:eastAsia="仿宋_GB2312"/>
          <w:sz w:val="28"/>
          <w:szCs w:val="28"/>
        </w:rPr>
      </w:pPr>
      <w:r>
        <w:rPr>
          <w:rFonts w:hint="eastAsia" w:eastAsia="仿宋_GB2312"/>
          <w:sz w:val="28"/>
          <w:szCs w:val="28"/>
        </w:rPr>
        <w:t>（二）产品的性能指标是否满足产品的安全有效性要求。</w:t>
      </w:r>
    </w:p>
    <w:p>
      <w:pPr>
        <w:spacing w:line="500" w:lineRule="exact"/>
        <w:ind w:firstLine="560" w:firstLineChars="200"/>
        <w:rPr>
          <w:rFonts w:eastAsia="仿宋_GB2312"/>
          <w:sz w:val="28"/>
          <w:szCs w:val="28"/>
        </w:rPr>
      </w:pPr>
      <w:r>
        <w:rPr>
          <w:rFonts w:hint="eastAsia" w:eastAsia="仿宋_GB2312"/>
          <w:sz w:val="28"/>
          <w:szCs w:val="28"/>
        </w:rPr>
        <w:t>（三）说明书中必须告知用户的信息是否完整。</w:t>
      </w:r>
    </w:p>
    <w:p>
      <w:pPr>
        <w:spacing w:line="500" w:lineRule="exact"/>
        <w:ind w:firstLine="560" w:firstLineChars="200"/>
        <w:rPr>
          <w:rFonts w:eastAsia="仿宋_GB2312"/>
          <w:sz w:val="28"/>
          <w:szCs w:val="28"/>
        </w:rPr>
      </w:pPr>
      <w:r>
        <w:rPr>
          <w:rFonts w:hint="eastAsia" w:eastAsia="仿宋_GB2312"/>
          <w:sz w:val="28"/>
          <w:szCs w:val="28"/>
        </w:rPr>
        <w:t>（四）产品的预期用途是否明确，是否遵照相应的法规与标准。若不限定与该软件配套使用的床旁监护设备的生产商与型号，</w:t>
      </w:r>
      <w:r>
        <w:rPr>
          <w:rFonts w:hint="eastAsia" w:eastAsia="仿宋_GB2312"/>
          <w:sz w:val="28"/>
          <w:szCs w:val="28"/>
          <w:lang w:eastAsia="zh-CN"/>
        </w:rPr>
        <w:t>应</w:t>
      </w:r>
      <w:r>
        <w:rPr>
          <w:rFonts w:hint="eastAsia" w:eastAsia="仿宋_GB2312"/>
          <w:sz w:val="28"/>
          <w:szCs w:val="28"/>
        </w:rPr>
        <w:t>提供充足的原因与证据（如，产品更为详细的工作原理、风险分析报告或验证资料）。若明确与该软件配套使用的床旁监护设备的生产商与型号，</w:t>
      </w:r>
      <w:r>
        <w:rPr>
          <w:rFonts w:hint="eastAsia" w:eastAsia="仿宋_GB2312"/>
          <w:sz w:val="28"/>
          <w:szCs w:val="28"/>
          <w:lang w:eastAsia="zh-CN"/>
        </w:rPr>
        <w:t>应</w:t>
      </w:r>
      <w:r>
        <w:rPr>
          <w:rFonts w:hint="eastAsia" w:eastAsia="仿宋_GB2312"/>
          <w:sz w:val="28"/>
          <w:szCs w:val="28"/>
        </w:rPr>
        <w:t>提供验证资料。</w:t>
      </w:r>
    </w:p>
    <w:p>
      <w:pPr>
        <w:spacing w:line="500" w:lineRule="exact"/>
        <w:ind w:firstLine="560" w:firstLineChars="200"/>
        <w:rPr>
          <w:rFonts w:eastAsia="仿宋_GB2312"/>
          <w:sz w:val="28"/>
          <w:szCs w:val="28"/>
        </w:rPr>
      </w:pPr>
      <w:r>
        <w:rPr>
          <w:rFonts w:hint="eastAsia" w:eastAsia="仿宋_GB2312"/>
          <w:sz w:val="28"/>
          <w:szCs w:val="28"/>
        </w:rPr>
        <w:t>（五）关注软件版本命名规则及发布版本。</w:t>
      </w:r>
    </w:p>
    <w:p>
      <w:pPr>
        <w:spacing w:line="500" w:lineRule="exact"/>
        <w:ind w:firstLine="560" w:firstLineChars="200"/>
        <w:rPr>
          <w:rFonts w:eastAsia="仿宋_GB2312"/>
          <w:sz w:val="28"/>
          <w:szCs w:val="28"/>
        </w:rPr>
      </w:pPr>
      <w:r>
        <w:rPr>
          <w:rFonts w:hint="eastAsia" w:eastAsia="仿宋_GB2312"/>
          <w:sz w:val="28"/>
          <w:szCs w:val="28"/>
        </w:rPr>
        <w:t>（六）关注软件生存周期过程的完整性和规范性。医疗器械软件产品的质量源于产品设计，其开发过程决定了产品质量，因此注册质量管理体系核查与申请资料的审查同等重要，建议审评人员参与注册核查。</w:t>
      </w:r>
    </w:p>
    <w:p>
      <w:pPr>
        <w:spacing w:line="520" w:lineRule="exact"/>
        <w:ind w:right="-67" w:rightChars="-32" w:firstLine="640" w:firstLineChars="200"/>
        <w:outlineLvl w:val="0"/>
        <w:rPr>
          <w:rFonts w:eastAsia="黑体"/>
          <w:sz w:val="32"/>
          <w:szCs w:val="32"/>
        </w:rPr>
      </w:pPr>
      <w:bookmarkStart w:id="20" w:name="_Toc12073"/>
      <w:bookmarkStart w:id="21" w:name="_Toc112"/>
      <w:r>
        <w:rPr>
          <w:rFonts w:hint="eastAsia" w:eastAsia="黑体"/>
          <w:sz w:val="32"/>
          <w:szCs w:val="32"/>
        </w:rPr>
        <w:t>四、参考文献</w:t>
      </w:r>
      <w:bookmarkEnd w:id="20"/>
      <w:bookmarkEnd w:id="21"/>
    </w:p>
    <w:p>
      <w:pPr>
        <w:rPr>
          <w:rFonts w:eastAsia="仿宋_GB2312"/>
          <w:sz w:val="32"/>
          <w:szCs w:val="32"/>
        </w:rPr>
      </w:pPr>
      <w:r>
        <w:rPr>
          <w:rFonts w:hint="eastAsia" w:eastAsia="仿宋_GB2312"/>
          <w:sz w:val="32"/>
          <w:szCs w:val="32"/>
        </w:rPr>
        <w:t>[1]YY 0709-2009《医用电气设备 第1-8部分：安全通用要求 并列标准 医用电气设备和医用电气系统中报警系统的测试和指南》</w:t>
      </w:r>
    </w:p>
    <w:p>
      <w:pPr>
        <w:rPr>
          <w:rFonts w:eastAsia="仿宋_GB2312"/>
          <w:sz w:val="32"/>
          <w:szCs w:val="32"/>
        </w:rPr>
      </w:pPr>
      <w:r>
        <w:rPr>
          <w:rFonts w:hint="eastAsia" w:eastAsia="仿宋_GB2312"/>
          <w:sz w:val="32"/>
          <w:szCs w:val="32"/>
        </w:rPr>
        <w:t>[2] GB/T 25000.51-2010《软件工程 软件产品质量要求与评价（SQuaRE） 商业现货（COTS）软件产品的质量要求与测试细则》</w:t>
      </w:r>
    </w:p>
    <w:p>
      <w:pPr>
        <w:rPr>
          <w:rFonts w:eastAsia="仿宋_GB2312"/>
          <w:sz w:val="32"/>
          <w:szCs w:val="32"/>
        </w:rPr>
      </w:pPr>
      <w:r>
        <w:rPr>
          <w:rFonts w:hint="eastAsia" w:eastAsia="仿宋_GB2312"/>
          <w:sz w:val="32"/>
          <w:szCs w:val="32"/>
        </w:rPr>
        <w:t>[3]YY/T 0316-2008《医疗器械 风险管理对医疗器械的应用》</w:t>
      </w:r>
    </w:p>
    <w:p>
      <w:pPr>
        <w:rPr>
          <w:rFonts w:eastAsia="仿宋_GB2312"/>
          <w:sz w:val="32"/>
          <w:szCs w:val="32"/>
        </w:rPr>
      </w:pPr>
      <w:r>
        <w:rPr>
          <w:rFonts w:hint="eastAsia" w:eastAsia="仿宋_GB2312"/>
          <w:sz w:val="32"/>
          <w:szCs w:val="32"/>
        </w:rPr>
        <w:t>[4]YY/T 0664-2008《医疗器械软件 软件生存周期过程》</w:t>
      </w:r>
    </w:p>
    <w:p>
      <w:pPr>
        <w:rPr>
          <w:rFonts w:eastAsia="仿宋_GB2312"/>
          <w:sz w:val="32"/>
          <w:szCs w:val="32"/>
        </w:rPr>
      </w:pPr>
      <w:r>
        <w:rPr>
          <w:rFonts w:hint="eastAsia" w:eastAsia="仿宋_GB2312"/>
          <w:sz w:val="32"/>
          <w:szCs w:val="32"/>
        </w:rPr>
        <w:t>[5]YY/T 1437-2016《医疗器械YY/T 0316应用指南》</w:t>
      </w:r>
    </w:p>
    <w:p>
      <w:pPr>
        <w:rPr>
          <w:rFonts w:eastAsia="仿宋_GB2312"/>
          <w:sz w:val="32"/>
          <w:szCs w:val="32"/>
        </w:rPr>
      </w:pPr>
      <w:r>
        <w:rPr>
          <w:rFonts w:hint="eastAsia" w:eastAsia="仿宋_GB2312"/>
          <w:sz w:val="32"/>
          <w:szCs w:val="32"/>
        </w:rPr>
        <w:t>[6]医疗器械临床评价技术审查指导原则（2015第14号）</w:t>
      </w:r>
    </w:p>
    <w:p>
      <w:pPr>
        <w:rPr>
          <w:rFonts w:eastAsia="仿宋_GB2312"/>
          <w:sz w:val="32"/>
          <w:szCs w:val="32"/>
        </w:rPr>
      </w:pPr>
      <w:r>
        <w:rPr>
          <w:rFonts w:hint="eastAsia" w:eastAsia="仿宋_GB2312"/>
          <w:sz w:val="32"/>
          <w:szCs w:val="32"/>
        </w:rPr>
        <w:t>[7]医疗器械软件注册技术审查指导原则（2015第50号）</w:t>
      </w:r>
    </w:p>
    <w:p>
      <w:pPr>
        <w:rPr>
          <w:rFonts w:eastAsia="仿宋_GB2312"/>
          <w:sz w:val="32"/>
          <w:szCs w:val="32"/>
        </w:rPr>
      </w:pPr>
      <w:r>
        <w:rPr>
          <w:rFonts w:hint="eastAsia" w:eastAsia="仿宋_GB2312"/>
          <w:sz w:val="32"/>
          <w:szCs w:val="32"/>
        </w:rPr>
        <w:t>[8]《医疗器械临床试验质量管理规范》（国家食品药品监督管理总局 中华人民共和国国家卫生和计划生育委员会令第25号）</w:t>
      </w:r>
    </w:p>
    <w:p>
      <w:pPr>
        <w:ind w:firstLine="910" w:firstLineChars="350"/>
        <w:rPr>
          <w:rFonts w:ascii="仿宋_GB2312" w:eastAsia="仿宋_GB2312"/>
          <w:spacing w:val="-30"/>
          <w:sz w:val="32"/>
          <w:szCs w:val="32"/>
        </w:rPr>
      </w:pPr>
      <w:r>
        <w:rPr>
          <w:rFonts w:hint="eastAsia" w:ascii="仿宋_GB2312" w:eastAsia="仿宋_GB2312"/>
          <w:spacing w:val="-30"/>
          <w:sz w:val="32"/>
          <w:szCs w:val="32"/>
        </w:rPr>
        <w:br w:type="page"/>
      </w:r>
    </w:p>
    <w:p>
      <w:pPr>
        <w:ind w:firstLine="910" w:firstLineChars="350"/>
        <w:rPr>
          <w:rFonts w:ascii="仿宋_GB2312" w:eastAsia="仿宋_GB2312"/>
          <w:spacing w:val="-30"/>
          <w:sz w:val="32"/>
          <w:szCs w:val="32"/>
        </w:rPr>
      </w:pPr>
    </w:p>
    <w:p>
      <w:pPr>
        <w:spacing w:line="520" w:lineRule="exact"/>
        <w:ind w:right="-67" w:rightChars="-32"/>
        <w:jc w:val="center"/>
        <w:rPr>
          <w:rFonts w:ascii="方正小标宋简体" w:eastAsia="方正小标宋简体"/>
          <w:color w:val="000000"/>
          <w:sz w:val="44"/>
          <w:szCs w:val="44"/>
        </w:rPr>
      </w:pPr>
      <w:r>
        <w:rPr>
          <w:rFonts w:hint="eastAsia" w:ascii="方正小标宋简体" w:eastAsia="方正小标宋简体"/>
          <w:color w:val="000000"/>
          <w:sz w:val="44"/>
          <w:szCs w:val="44"/>
        </w:rPr>
        <w:t>中央监护软件产品</w:t>
      </w:r>
    </w:p>
    <w:p>
      <w:pPr>
        <w:spacing w:line="520" w:lineRule="exact"/>
        <w:ind w:right="-67" w:rightChars="-32"/>
        <w:jc w:val="center"/>
        <w:rPr>
          <w:rFonts w:ascii="方正小标宋简体" w:eastAsia="方正小标宋简体"/>
          <w:color w:val="000000"/>
          <w:sz w:val="44"/>
          <w:szCs w:val="44"/>
        </w:rPr>
      </w:pPr>
      <w:r>
        <w:rPr>
          <w:rFonts w:hint="eastAsia" w:ascii="方正小标宋简体" w:eastAsia="方正小标宋简体"/>
          <w:color w:val="000000"/>
          <w:sz w:val="44"/>
          <w:szCs w:val="44"/>
        </w:rPr>
        <w:t>注册技术审查指导原则编制说明</w:t>
      </w:r>
    </w:p>
    <w:p>
      <w:pPr>
        <w:spacing w:line="520" w:lineRule="exact"/>
        <w:ind w:right="-67" w:rightChars="-32"/>
        <w:rPr>
          <w:rFonts w:eastAsia="方正小标宋简体"/>
          <w:color w:val="000000"/>
          <w:sz w:val="44"/>
          <w:szCs w:val="44"/>
        </w:rPr>
      </w:pPr>
    </w:p>
    <w:p>
      <w:pPr>
        <w:tabs>
          <w:tab w:val="left" w:pos="3948"/>
        </w:tabs>
        <w:snapToGrid w:val="0"/>
        <w:spacing w:line="520" w:lineRule="exact"/>
        <w:ind w:firstLine="640" w:firstLineChars="200"/>
        <w:rPr>
          <w:rFonts w:eastAsia="黑体"/>
          <w:sz w:val="32"/>
          <w:szCs w:val="32"/>
        </w:rPr>
      </w:pPr>
      <w:r>
        <w:rPr>
          <w:rFonts w:eastAsia="黑体"/>
          <w:sz w:val="32"/>
          <w:szCs w:val="32"/>
        </w:rPr>
        <w:t>一、指导原则编写目的</w:t>
      </w:r>
    </w:p>
    <w:p>
      <w:pPr>
        <w:tabs>
          <w:tab w:val="left" w:pos="3948"/>
        </w:tabs>
        <w:snapToGrid w:val="0"/>
        <w:spacing w:line="520" w:lineRule="exact"/>
        <w:ind w:firstLine="640" w:firstLineChars="200"/>
        <w:rPr>
          <w:rFonts w:eastAsia="仿宋_GB2312"/>
          <w:sz w:val="32"/>
          <w:szCs w:val="32"/>
        </w:rPr>
      </w:pPr>
      <w:r>
        <w:rPr>
          <w:rFonts w:hint="eastAsia" w:eastAsia="仿宋_GB2312"/>
          <w:sz w:val="32"/>
          <w:szCs w:val="32"/>
        </w:rPr>
        <w:t>本指导原则旨在指导注册申请人对中央监护软件注册申报资料的准备及撰写，同时也为技术审评部门审评注册申报资料提供参考。</w:t>
      </w:r>
    </w:p>
    <w:p>
      <w:pPr>
        <w:tabs>
          <w:tab w:val="left" w:pos="3948"/>
        </w:tabs>
        <w:snapToGrid w:val="0"/>
        <w:spacing w:line="520" w:lineRule="exact"/>
        <w:ind w:firstLine="640" w:firstLineChars="200"/>
        <w:rPr>
          <w:rFonts w:eastAsia="仿宋_GB2312"/>
          <w:sz w:val="32"/>
          <w:szCs w:val="32"/>
        </w:rPr>
      </w:pPr>
      <w:r>
        <w:rPr>
          <w:rFonts w:hint="eastAsia" w:eastAsia="仿宋_GB2312"/>
          <w:sz w:val="32"/>
          <w:szCs w:val="32"/>
        </w:rPr>
        <w:t>本指导原则是对中央监护软件的一般性要求，申请人应根据申报产品的特性提交注册申报资料，判断指导原则中的具体内容是否适用，不适用内容应详述理由。申请人也可采用其他满足法规要求的替代方法，但应提供详尽的研究资料和验证资料。</w:t>
      </w:r>
    </w:p>
    <w:p>
      <w:pPr>
        <w:tabs>
          <w:tab w:val="left" w:pos="3948"/>
        </w:tabs>
        <w:snapToGrid w:val="0"/>
        <w:spacing w:line="520" w:lineRule="exact"/>
        <w:ind w:firstLine="640" w:firstLineChars="200"/>
        <w:rPr>
          <w:rFonts w:eastAsia="黑体"/>
          <w:sz w:val="32"/>
          <w:szCs w:val="32"/>
        </w:rPr>
      </w:pPr>
      <w:r>
        <w:rPr>
          <w:rFonts w:eastAsia="黑体"/>
          <w:sz w:val="32"/>
          <w:szCs w:val="32"/>
        </w:rPr>
        <w:t>二、指导原则编写依据</w:t>
      </w:r>
    </w:p>
    <w:p>
      <w:pPr>
        <w:tabs>
          <w:tab w:val="left" w:pos="3948"/>
        </w:tabs>
        <w:autoSpaceDE w:val="0"/>
        <w:autoSpaceDN w:val="0"/>
        <w:adjustRightInd w:val="0"/>
        <w:spacing w:line="520" w:lineRule="exact"/>
        <w:ind w:firstLine="640" w:firstLineChars="200"/>
        <w:rPr>
          <w:rStyle w:val="14"/>
          <w:rFonts w:eastAsia="仿宋_GB2312"/>
          <w:sz w:val="32"/>
          <w:szCs w:val="32"/>
        </w:rPr>
      </w:pPr>
      <w:r>
        <w:rPr>
          <w:rFonts w:eastAsia="仿宋_GB2312"/>
          <w:sz w:val="32"/>
          <w:szCs w:val="32"/>
        </w:rPr>
        <w:t>（一）《</w:t>
      </w:r>
      <w:r>
        <w:rPr>
          <w:rStyle w:val="14"/>
          <w:rFonts w:eastAsia="仿宋_GB2312"/>
          <w:sz w:val="32"/>
          <w:szCs w:val="32"/>
        </w:rPr>
        <w:t>医疗器械监督管理条例》（国务院令第650号）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（二）《医疗器械注册管理办法》（国家食品药品监督管理总局令第4号）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（三）《医疗器械说明书和标签管理规定》（国家食品药品监督管理总局令第6号）</w:t>
      </w:r>
    </w:p>
    <w:p>
      <w:pPr>
        <w:tabs>
          <w:tab w:val="left" w:pos="3948"/>
        </w:tabs>
        <w:autoSpaceDE w:val="0"/>
        <w:autoSpaceDN w:val="0"/>
        <w:adjustRightInd w:val="0"/>
        <w:spacing w:line="520" w:lineRule="exact"/>
        <w:ind w:firstLine="640" w:firstLineChars="200"/>
        <w:rPr>
          <w:rFonts w:eastAsia="仿宋_GB2312"/>
          <w:spacing w:val="-6"/>
          <w:sz w:val="32"/>
          <w:szCs w:val="32"/>
        </w:rPr>
      </w:pPr>
      <w:r>
        <w:rPr>
          <w:rStyle w:val="14"/>
          <w:rFonts w:eastAsia="仿宋_GB2312"/>
          <w:sz w:val="32"/>
          <w:szCs w:val="32"/>
        </w:rPr>
        <w:t>（四）</w:t>
      </w:r>
      <w:r>
        <w:rPr>
          <w:rFonts w:eastAsia="仿宋_GB2312"/>
          <w:spacing w:val="-6"/>
          <w:sz w:val="32"/>
          <w:szCs w:val="32"/>
        </w:rPr>
        <w:t>《关于公布医疗器械注册申报资料要求和批准证明文件格式的公告》（</w:t>
      </w:r>
      <w:r>
        <w:rPr>
          <w:rStyle w:val="14"/>
          <w:rFonts w:eastAsia="仿宋_GB2312"/>
          <w:spacing w:val="-6"/>
          <w:sz w:val="32"/>
          <w:szCs w:val="32"/>
        </w:rPr>
        <w:t>国家食品药品监督管理</w:t>
      </w:r>
      <w:r>
        <w:rPr>
          <w:rFonts w:eastAsia="仿宋_GB2312"/>
          <w:spacing w:val="-6"/>
          <w:sz w:val="32"/>
          <w:szCs w:val="32"/>
        </w:rPr>
        <w:t>总局公告2014年第43号）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（五）《关于发布医疗器械产品技术要求编写指导原则的通告》（国家食品药品监督管理总局通告</w:t>
      </w:r>
      <w:r>
        <w:rPr>
          <w:rFonts w:eastAsia="仿宋_GB2312"/>
          <w:sz w:val="32"/>
          <w:szCs w:val="32"/>
        </w:rPr>
        <w:t>2014年</w:t>
      </w:r>
      <w:r>
        <w:rPr>
          <w:rStyle w:val="14"/>
          <w:rFonts w:eastAsia="仿宋_GB2312"/>
          <w:sz w:val="32"/>
          <w:szCs w:val="32"/>
        </w:rPr>
        <w:t>第9号）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（六）《关于发布医疗器械临床评价技术指导原则的通告》（国家食品药品监督管理总局通告</w:t>
      </w:r>
      <w:r>
        <w:rPr>
          <w:rFonts w:eastAsia="仿宋_GB2312"/>
          <w:sz w:val="32"/>
          <w:szCs w:val="32"/>
        </w:rPr>
        <w:t>2015年</w:t>
      </w:r>
      <w:r>
        <w:rPr>
          <w:rStyle w:val="14"/>
          <w:rFonts w:eastAsia="仿宋_GB2312"/>
          <w:sz w:val="32"/>
          <w:szCs w:val="32"/>
        </w:rPr>
        <w:t>第14号）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（七）《关于发布医疗器械软件注册技术审查指导原则的通告》（国家食品药品监督管理总局通告</w:t>
      </w:r>
      <w:r>
        <w:rPr>
          <w:rFonts w:eastAsia="仿宋_GB2312"/>
          <w:sz w:val="32"/>
          <w:szCs w:val="32"/>
        </w:rPr>
        <w:t>2015年</w:t>
      </w:r>
      <w:r>
        <w:rPr>
          <w:rStyle w:val="14"/>
          <w:rFonts w:eastAsia="仿宋_GB2312"/>
          <w:sz w:val="32"/>
          <w:szCs w:val="32"/>
        </w:rPr>
        <w:t>第50号）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hint="eastAsia" w:eastAsia="仿宋_GB2312"/>
          <w:sz w:val="32"/>
          <w:szCs w:val="32"/>
        </w:rPr>
        <w:t>（八）《医疗器械通用名称命名规则》（国家食品药品监督管理总局令第19号）</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w:t>
      </w:r>
      <w:r>
        <w:rPr>
          <w:rStyle w:val="14"/>
          <w:rFonts w:hint="eastAsia" w:eastAsia="仿宋_GB2312"/>
          <w:sz w:val="32"/>
          <w:szCs w:val="32"/>
        </w:rPr>
        <w:t>九</w:t>
      </w:r>
      <w:r>
        <w:rPr>
          <w:rStyle w:val="14"/>
          <w:rFonts w:eastAsia="仿宋_GB2312"/>
          <w:sz w:val="32"/>
          <w:szCs w:val="32"/>
        </w:rPr>
        <w:t>）国家食品药品监督管理部门发布的其他规范性文件</w:t>
      </w:r>
    </w:p>
    <w:p>
      <w:pPr>
        <w:tabs>
          <w:tab w:val="left" w:pos="3948"/>
        </w:tabs>
        <w:autoSpaceDE w:val="0"/>
        <w:autoSpaceDN w:val="0"/>
        <w:adjustRightInd w:val="0"/>
        <w:spacing w:line="520" w:lineRule="exact"/>
        <w:ind w:firstLine="640" w:firstLineChars="200"/>
        <w:rPr>
          <w:rStyle w:val="14"/>
          <w:rFonts w:eastAsia="仿宋_GB2312"/>
          <w:sz w:val="32"/>
          <w:szCs w:val="32"/>
        </w:rPr>
      </w:pPr>
      <w:r>
        <w:rPr>
          <w:rStyle w:val="14"/>
          <w:rFonts w:eastAsia="仿宋_GB2312"/>
          <w:sz w:val="32"/>
          <w:szCs w:val="32"/>
        </w:rPr>
        <w:t>（</w:t>
      </w:r>
      <w:r>
        <w:rPr>
          <w:rStyle w:val="14"/>
          <w:rFonts w:hint="eastAsia" w:eastAsia="仿宋_GB2312"/>
          <w:sz w:val="32"/>
          <w:szCs w:val="32"/>
        </w:rPr>
        <w:t>十</w:t>
      </w:r>
      <w:r>
        <w:rPr>
          <w:rStyle w:val="14"/>
          <w:rFonts w:eastAsia="仿宋_GB2312"/>
          <w:sz w:val="32"/>
          <w:szCs w:val="32"/>
        </w:rPr>
        <w:t>）相关标准</w:t>
      </w:r>
    </w:p>
    <w:p>
      <w:pPr>
        <w:pStyle w:val="4"/>
        <w:spacing w:line="520" w:lineRule="exact"/>
        <w:ind w:firstLine="640" w:firstLineChars="200"/>
        <w:rPr>
          <w:rStyle w:val="14"/>
          <w:rFonts w:eastAsia="黑体"/>
          <w:sz w:val="32"/>
          <w:szCs w:val="32"/>
        </w:rPr>
      </w:pPr>
      <w:r>
        <w:rPr>
          <w:rFonts w:eastAsia="黑体"/>
          <w:sz w:val="32"/>
          <w:szCs w:val="32"/>
        </w:rPr>
        <w:t>三、指导原则编写相关考虑</w:t>
      </w:r>
    </w:p>
    <w:p>
      <w:pPr>
        <w:tabs>
          <w:tab w:val="left" w:pos="3948"/>
        </w:tabs>
        <w:autoSpaceDE w:val="0"/>
        <w:autoSpaceDN w:val="0"/>
        <w:adjustRightInd w:val="0"/>
        <w:spacing w:line="520" w:lineRule="exact"/>
        <w:ind w:firstLine="640" w:firstLineChars="200"/>
        <w:rPr>
          <w:rFonts w:eastAsia="仿宋_GB2312"/>
          <w:sz w:val="32"/>
          <w:szCs w:val="32"/>
        </w:rPr>
      </w:pPr>
      <w:r>
        <w:rPr>
          <w:rFonts w:eastAsia="仿宋_GB2312"/>
          <w:sz w:val="32"/>
          <w:szCs w:val="32"/>
        </w:rPr>
        <w:t>本指导原则基于《医疗器械软件注册技术审查指导原则》，针对</w:t>
      </w:r>
      <w:r>
        <w:rPr>
          <w:rFonts w:hint="eastAsia" w:eastAsia="仿宋_GB2312"/>
          <w:sz w:val="32"/>
          <w:szCs w:val="32"/>
        </w:rPr>
        <w:t>中央监护软件</w:t>
      </w:r>
      <w:r>
        <w:rPr>
          <w:rFonts w:eastAsia="仿宋_GB2312"/>
          <w:sz w:val="32"/>
          <w:szCs w:val="32"/>
        </w:rPr>
        <w:t>产品特点进行编制起草。本指导原则以现行的国家食品药品监督管理总局相关法规、国家标准、行业标准为基础，参考了相关的国际标准、国外法规要求以及技术指导文件。</w:t>
      </w:r>
    </w:p>
    <w:p>
      <w:pPr>
        <w:tabs>
          <w:tab w:val="left" w:pos="3948"/>
        </w:tabs>
        <w:autoSpaceDE w:val="0"/>
        <w:autoSpaceDN w:val="0"/>
        <w:adjustRightInd w:val="0"/>
        <w:spacing w:line="520" w:lineRule="exact"/>
        <w:ind w:firstLine="640" w:firstLineChars="200"/>
        <w:rPr>
          <w:rFonts w:eastAsia="仿宋_GB2312"/>
          <w:sz w:val="32"/>
          <w:szCs w:val="32"/>
        </w:rPr>
      </w:pPr>
      <w:r>
        <w:rPr>
          <w:rFonts w:eastAsia="仿宋_GB2312"/>
          <w:sz w:val="32"/>
          <w:szCs w:val="32"/>
        </w:rPr>
        <w:t>本指导原则是对</w:t>
      </w:r>
      <w:r>
        <w:rPr>
          <w:rFonts w:hint="eastAsia" w:eastAsia="仿宋_GB2312"/>
          <w:sz w:val="32"/>
          <w:szCs w:val="32"/>
        </w:rPr>
        <w:t>中央监护软件</w:t>
      </w:r>
      <w:r>
        <w:rPr>
          <w:rFonts w:eastAsia="仿宋_GB2312"/>
          <w:sz w:val="32"/>
          <w:szCs w:val="32"/>
        </w:rPr>
        <w:t>产品的一般性要求，申请人应依据</w:t>
      </w:r>
      <w:r>
        <w:rPr>
          <w:rFonts w:hint="eastAsia" w:eastAsia="仿宋_GB2312"/>
          <w:sz w:val="32"/>
          <w:szCs w:val="32"/>
        </w:rPr>
        <w:t>中央监护软件</w:t>
      </w:r>
      <w:r>
        <w:rPr>
          <w:rFonts w:eastAsia="仿宋_GB2312"/>
          <w:sz w:val="32"/>
          <w:szCs w:val="32"/>
        </w:rPr>
        <w:t>产品的特性对注册申报资料的内容进行充实和细化。注册申请人还应依据</w:t>
      </w:r>
      <w:r>
        <w:rPr>
          <w:rFonts w:hint="eastAsia" w:eastAsia="仿宋_GB2312"/>
          <w:sz w:val="32"/>
          <w:szCs w:val="32"/>
        </w:rPr>
        <w:t>中央监护软件</w:t>
      </w:r>
      <w:r>
        <w:rPr>
          <w:rFonts w:eastAsia="仿宋_GB2312"/>
          <w:sz w:val="32"/>
          <w:szCs w:val="32"/>
        </w:rPr>
        <w:t>产品的特性确定其中的具体内容是否适用，若不适用，需具体阐述其理由及相应的科学依据。</w:t>
      </w:r>
    </w:p>
    <w:p>
      <w:pPr>
        <w:pStyle w:val="4"/>
        <w:spacing w:line="520" w:lineRule="exact"/>
        <w:ind w:firstLine="640" w:firstLineChars="200"/>
        <w:rPr>
          <w:rStyle w:val="14"/>
          <w:rFonts w:eastAsia="仿宋_GB2312"/>
          <w:sz w:val="32"/>
          <w:szCs w:val="32"/>
        </w:rPr>
      </w:pPr>
      <w:r>
        <w:rPr>
          <w:rStyle w:val="14"/>
          <w:rFonts w:eastAsia="仿宋_GB2312"/>
          <w:sz w:val="32"/>
          <w:szCs w:val="32"/>
        </w:rPr>
        <w:t>本指导原则的编写原则和编制程序按《医疗器械注册技术审查指导原则制修订管理规范》进行。</w:t>
      </w:r>
    </w:p>
    <w:p>
      <w:pPr>
        <w:tabs>
          <w:tab w:val="left" w:pos="3948"/>
        </w:tabs>
        <w:snapToGrid w:val="0"/>
        <w:spacing w:line="520" w:lineRule="exact"/>
        <w:ind w:firstLine="640" w:firstLineChars="200"/>
        <w:rPr>
          <w:rFonts w:eastAsia="黑体"/>
          <w:sz w:val="32"/>
          <w:szCs w:val="32"/>
        </w:rPr>
      </w:pPr>
      <w:r>
        <w:rPr>
          <w:rFonts w:eastAsia="黑体"/>
          <w:sz w:val="32"/>
          <w:szCs w:val="32"/>
        </w:rPr>
        <w:t>四、指导原则编写单位和人员</w:t>
      </w:r>
    </w:p>
    <w:p>
      <w:pPr>
        <w:tabs>
          <w:tab w:val="left" w:pos="3948"/>
        </w:tabs>
        <w:snapToGrid w:val="0"/>
        <w:spacing w:line="520" w:lineRule="exact"/>
        <w:ind w:firstLine="640" w:firstLineChars="200"/>
        <w:rPr>
          <w:rFonts w:eastAsia="仿宋_GB2312"/>
          <w:sz w:val="32"/>
          <w:szCs w:val="32"/>
        </w:rPr>
      </w:pPr>
      <w:r>
        <w:rPr>
          <w:rFonts w:eastAsia="仿宋_GB2312"/>
          <w:sz w:val="32"/>
          <w:szCs w:val="32"/>
        </w:rPr>
        <w:t>辽宁省药械审评与监测中心</w:t>
      </w:r>
    </w:p>
    <w:p>
      <w:pPr>
        <w:tabs>
          <w:tab w:val="left" w:pos="3948"/>
        </w:tabs>
        <w:snapToGrid w:val="0"/>
        <w:spacing w:line="520" w:lineRule="exact"/>
        <w:ind w:firstLine="640" w:firstLineChars="200"/>
        <w:rPr>
          <w:rFonts w:eastAsia="仿宋_GB2312"/>
          <w:sz w:val="32"/>
          <w:szCs w:val="32"/>
        </w:rPr>
      </w:pPr>
      <w:r>
        <w:rPr>
          <w:rFonts w:hint="eastAsia" w:eastAsia="仿宋_GB2312"/>
          <w:sz w:val="32"/>
          <w:szCs w:val="32"/>
        </w:rPr>
        <w:t>北京市医疗器械审评中心</w:t>
      </w:r>
    </w:p>
    <w:p>
      <w:pPr>
        <w:tabs>
          <w:tab w:val="left" w:pos="3948"/>
        </w:tabs>
        <w:snapToGrid w:val="0"/>
        <w:spacing w:line="520" w:lineRule="exact"/>
        <w:ind w:firstLine="640" w:firstLineChars="200"/>
        <w:rPr>
          <w:rFonts w:eastAsia="仿宋_GB2312"/>
          <w:sz w:val="32"/>
          <w:szCs w:val="32"/>
        </w:rPr>
      </w:pPr>
      <w:r>
        <w:rPr>
          <w:rFonts w:hint="eastAsia" w:eastAsia="仿宋_GB2312"/>
          <w:sz w:val="32"/>
          <w:szCs w:val="32"/>
        </w:rPr>
        <w:t>辽宁省食品药品监督管理局</w:t>
      </w:r>
    </w:p>
    <w:p>
      <w:pPr>
        <w:spacing w:line="520" w:lineRule="exact"/>
        <w:ind w:firstLine="640" w:firstLineChars="200"/>
        <w:rPr>
          <w:rFonts w:eastAsia="仿宋_GB2312"/>
          <w:sz w:val="32"/>
          <w:szCs w:val="32"/>
        </w:rPr>
      </w:pPr>
      <w:r>
        <w:rPr>
          <w:rFonts w:eastAsia="仿宋_GB2312"/>
          <w:sz w:val="32"/>
          <w:szCs w:val="32"/>
        </w:rPr>
        <w:t>辽宁省医疗器械检验检测院</w:t>
      </w:r>
    </w:p>
    <w:p>
      <w:pPr>
        <w:spacing w:line="520" w:lineRule="exact"/>
        <w:ind w:firstLine="640" w:firstLineChars="200"/>
        <w:rPr>
          <w:rFonts w:eastAsia="仿宋_GB2312"/>
          <w:sz w:val="32"/>
          <w:szCs w:val="32"/>
        </w:rPr>
      </w:pPr>
      <w:r>
        <w:rPr>
          <w:rFonts w:hint="eastAsia" w:eastAsia="仿宋_GB2312"/>
          <w:sz w:val="32"/>
          <w:szCs w:val="32"/>
        </w:rPr>
        <w:t>上海市食品药品监督管理局认证审评中心</w:t>
      </w:r>
    </w:p>
    <w:p>
      <w:pPr>
        <w:spacing w:line="520" w:lineRule="exact"/>
        <w:ind w:firstLine="640" w:firstLineChars="200"/>
        <w:rPr>
          <w:rFonts w:eastAsia="仿宋_GB2312"/>
          <w:sz w:val="32"/>
          <w:szCs w:val="32"/>
        </w:rPr>
      </w:pPr>
      <w:r>
        <w:rPr>
          <w:rFonts w:hint="eastAsia" w:eastAsia="仿宋_GB2312"/>
          <w:sz w:val="32"/>
          <w:szCs w:val="32"/>
        </w:rPr>
        <w:t>四川省食品药品审查评价及安全监测中心</w:t>
      </w:r>
    </w:p>
    <w:p>
      <w:pPr>
        <w:spacing w:line="520" w:lineRule="exact"/>
        <w:ind w:firstLine="640" w:firstLineChars="200"/>
        <w:rPr>
          <w:rFonts w:eastAsia="仿宋_GB2312"/>
          <w:sz w:val="32"/>
          <w:szCs w:val="32"/>
        </w:rPr>
      </w:pPr>
      <w:r>
        <w:rPr>
          <w:rFonts w:hint="eastAsia" w:eastAsia="仿宋_GB2312"/>
          <w:sz w:val="32"/>
          <w:szCs w:val="32"/>
        </w:rPr>
        <w:t>广东省食品药品监督管理局审评认证中心</w:t>
      </w:r>
    </w:p>
    <w:p>
      <w:pPr>
        <w:spacing w:line="520" w:lineRule="exact"/>
        <w:ind w:firstLine="640" w:firstLineChars="200"/>
        <w:rPr>
          <w:rFonts w:eastAsia="仿宋_GB2312"/>
          <w:sz w:val="32"/>
          <w:szCs w:val="32"/>
        </w:rPr>
      </w:pPr>
      <w:r>
        <w:rPr>
          <w:rFonts w:hint="eastAsia" w:eastAsia="仿宋_GB2312"/>
          <w:sz w:val="32"/>
          <w:szCs w:val="32"/>
        </w:rPr>
        <w:t>天津市医疗器械审评中心</w:t>
      </w:r>
    </w:p>
    <w:p>
      <w:pPr>
        <w:spacing w:line="520" w:lineRule="exact"/>
        <w:ind w:firstLine="640" w:firstLineChars="200"/>
        <w:rPr>
          <w:rFonts w:eastAsia="仿宋_GB2312"/>
          <w:sz w:val="32"/>
          <w:szCs w:val="32"/>
        </w:rPr>
      </w:pPr>
      <w:r>
        <w:rPr>
          <w:rFonts w:hint="eastAsia" w:eastAsia="仿宋_GB2312"/>
          <w:sz w:val="32"/>
          <w:szCs w:val="32"/>
        </w:rPr>
        <w:t>心医国际数字医疗系统(大连)有限公司</w:t>
      </w:r>
    </w:p>
    <w:p>
      <w:pPr>
        <w:spacing w:line="520" w:lineRule="exact"/>
        <w:ind w:firstLine="640" w:firstLineChars="200"/>
        <w:rPr>
          <w:rFonts w:eastAsia="仿宋_GB2312"/>
          <w:sz w:val="32"/>
          <w:szCs w:val="32"/>
        </w:rPr>
      </w:pPr>
      <w:r>
        <w:rPr>
          <w:rFonts w:hint="eastAsia" w:eastAsia="仿宋_GB2312"/>
          <w:sz w:val="32"/>
          <w:szCs w:val="32"/>
        </w:rPr>
        <w:t>沈阳东软熙康医疗系统有限公司</w:t>
      </w:r>
    </w:p>
    <w:p>
      <w:pPr>
        <w:spacing w:line="520" w:lineRule="exact"/>
        <w:ind w:firstLine="640" w:firstLineChars="200"/>
        <w:rPr>
          <w:rFonts w:eastAsia="仿宋_GB2312"/>
          <w:sz w:val="32"/>
          <w:szCs w:val="32"/>
        </w:rPr>
      </w:pPr>
      <w:r>
        <w:rPr>
          <w:rFonts w:hint="eastAsia" w:eastAsia="仿宋_GB2312"/>
          <w:sz w:val="32"/>
          <w:szCs w:val="32"/>
        </w:rPr>
        <w:t>上海光电医用电子仪器有限公司</w:t>
      </w:r>
    </w:p>
    <w:p/>
    <w:sectPr>
      <w:footerReference r:id="rId3" w:type="default"/>
      <w:pgSz w:w="11906" w:h="16838"/>
      <w:pgMar w:top="1758" w:right="1531" w:bottom="1588" w:left="1531" w:header="851" w:footer="992" w:gutter="0"/>
      <w:lnNumType w:countBy="0"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6942205"/>
    </w:sdtPr>
    <w:sdtContent>
      <w:sdt>
        <w:sdtPr>
          <w:id w:val="860082579"/>
        </w:sdtPr>
        <w:sdtContent>
          <w:p>
            <w:pPr>
              <w:pStyle w:val="6"/>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A1076"/>
    <w:multiLevelType w:val="singleLevel"/>
    <w:tmpl w:val="553A1076"/>
    <w:lvl w:ilvl="0" w:tentative="0">
      <w:start w:val="10"/>
      <w:numFmt w:val="chineseCounting"/>
      <w:suff w:val="nothing"/>
      <w:lvlText w:val="（%1）"/>
      <w:lvlJc w:val="left"/>
    </w:lvl>
  </w:abstractNum>
  <w:abstractNum w:abstractNumId="1">
    <w:nsid w:val="55618829"/>
    <w:multiLevelType w:val="singleLevel"/>
    <w:tmpl w:val="55618829"/>
    <w:lvl w:ilvl="0" w:tentative="0">
      <w:start w:val="4"/>
      <w:numFmt w:val="chineseCounting"/>
      <w:suff w:val="nothing"/>
      <w:lvlText w:val="（%1）"/>
      <w:lvlJc w:val="left"/>
    </w:lvl>
  </w:abstractNum>
  <w:abstractNum w:abstractNumId="2">
    <w:nsid w:val="57C6941D"/>
    <w:multiLevelType w:val="singleLevel"/>
    <w:tmpl w:val="57C6941D"/>
    <w:lvl w:ilvl="0" w:tentative="0">
      <w:start w:val="3"/>
      <w:numFmt w:val="chineseCounting"/>
      <w:suff w:val="nothing"/>
      <w:lvlText w:val="（%1）"/>
      <w:lvlJc w:val="left"/>
    </w:lvl>
  </w:abstractNum>
  <w:abstractNum w:abstractNumId="3">
    <w:nsid w:val="57C699FB"/>
    <w:multiLevelType w:val="singleLevel"/>
    <w:tmpl w:val="57C699FB"/>
    <w:lvl w:ilvl="0" w:tentative="0">
      <w:start w:val="12"/>
      <w:numFmt w:val="chineseCounting"/>
      <w:suff w:val="nothing"/>
      <w:lvlText w:val="（%1）"/>
      <w:lvlJc w:val="left"/>
    </w:lvl>
  </w:abstractNum>
  <w:abstractNum w:abstractNumId="4">
    <w:nsid w:val="5804B658"/>
    <w:multiLevelType w:val="singleLevel"/>
    <w:tmpl w:val="5804B658"/>
    <w:lvl w:ilvl="0" w:tentative="0">
      <w:start w:val="4"/>
      <w:numFmt w:val="decimal"/>
      <w:suff w:val="nothing"/>
      <w:lvlText w:val="%1."/>
      <w:lvlJc w:val="left"/>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853"/>
    <w:rsid w:val="00003D0C"/>
    <w:rsid w:val="000318A1"/>
    <w:rsid w:val="000529F6"/>
    <w:rsid w:val="0009592F"/>
    <w:rsid w:val="000A731C"/>
    <w:rsid w:val="001B7FBB"/>
    <w:rsid w:val="00270E57"/>
    <w:rsid w:val="00291824"/>
    <w:rsid w:val="00355816"/>
    <w:rsid w:val="0037564E"/>
    <w:rsid w:val="0041216A"/>
    <w:rsid w:val="00431382"/>
    <w:rsid w:val="0046662B"/>
    <w:rsid w:val="005665FF"/>
    <w:rsid w:val="005C43B6"/>
    <w:rsid w:val="00684E2D"/>
    <w:rsid w:val="00685627"/>
    <w:rsid w:val="006C4A89"/>
    <w:rsid w:val="007020E4"/>
    <w:rsid w:val="00751D6A"/>
    <w:rsid w:val="00780EB5"/>
    <w:rsid w:val="008C1551"/>
    <w:rsid w:val="009237E0"/>
    <w:rsid w:val="009C7853"/>
    <w:rsid w:val="00B740A1"/>
    <w:rsid w:val="00C57538"/>
    <w:rsid w:val="00C86BAF"/>
    <w:rsid w:val="00C874F8"/>
    <w:rsid w:val="00CC0BE0"/>
    <w:rsid w:val="00CF33E5"/>
    <w:rsid w:val="00CF403C"/>
    <w:rsid w:val="00D37523"/>
    <w:rsid w:val="00D7680A"/>
    <w:rsid w:val="00DC682B"/>
    <w:rsid w:val="00E07B06"/>
    <w:rsid w:val="00EB08BF"/>
    <w:rsid w:val="00F214E8"/>
    <w:rsid w:val="00FF3EF4"/>
    <w:rsid w:val="01BE6B2C"/>
    <w:rsid w:val="0FB4173D"/>
    <w:rsid w:val="122E60D3"/>
    <w:rsid w:val="12A57F68"/>
    <w:rsid w:val="1365181B"/>
    <w:rsid w:val="16F16382"/>
    <w:rsid w:val="18714DDE"/>
    <w:rsid w:val="1BD46E8E"/>
    <w:rsid w:val="24491136"/>
    <w:rsid w:val="297A12B3"/>
    <w:rsid w:val="2CF20705"/>
    <w:rsid w:val="35FA72A6"/>
    <w:rsid w:val="37C938C9"/>
    <w:rsid w:val="3A852228"/>
    <w:rsid w:val="3D222D73"/>
    <w:rsid w:val="3D38693A"/>
    <w:rsid w:val="3D821D23"/>
    <w:rsid w:val="3F56782D"/>
    <w:rsid w:val="40B3072B"/>
    <w:rsid w:val="47520619"/>
    <w:rsid w:val="4B8E4A16"/>
    <w:rsid w:val="4F6F17F9"/>
    <w:rsid w:val="56527942"/>
    <w:rsid w:val="57C62C28"/>
    <w:rsid w:val="5DAF32BB"/>
    <w:rsid w:val="60877478"/>
    <w:rsid w:val="65F91FF9"/>
    <w:rsid w:val="66AC2362"/>
    <w:rsid w:val="700A13E4"/>
    <w:rsid w:val="7255411F"/>
    <w:rsid w:val="75C36096"/>
    <w:rsid w:val="75E17EF5"/>
    <w:rsid w:val="7776126D"/>
    <w:rsid w:val="7BD24DCB"/>
    <w:rsid w:val="7D72189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3"/>
    <w:unhideWhenUsed/>
    <w:qFormat/>
    <w:uiPriority w:val="99"/>
    <w:rPr>
      <w:rFonts w:ascii="Times New Roman" w:hAnsi="Times New Roman" w:eastAsia="宋体" w:cs="Times New Roman"/>
      <w:b/>
      <w:bCs/>
    </w:rPr>
  </w:style>
  <w:style w:type="paragraph" w:styleId="3">
    <w:name w:val="annotation text"/>
    <w:basedOn w:val="1"/>
    <w:link w:val="15"/>
    <w:unhideWhenUsed/>
    <w:qFormat/>
    <w:uiPriority w:val="99"/>
    <w:pPr>
      <w:jc w:val="left"/>
    </w:pPr>
    <w:rPr>
      <w:rFonts w:asciiTheme="minorHAnsi" w:hAnsiTheme="minorHAnsi" w:eastAsiaTheme="minorEastAsia" w:cstheme="minorBidi"/>
    </w:rPr>
  </w:style>
  <w:style w:type="paragraph" w:styleId="4">
    <w:name w:val="Body Text"/>
    <w:basedOn w:val="1"/>
    <w:link w:val="16"/>
    <w:unhideWhenUsed/>
    <w:qFormat/>
    <w:uiPriority w:val="99"/>
    <w:pPr>
      <w:spacing w:after="120"/>
    </w:pPr>
  </w:style>
  <w:style w:type="paragraph" w:styleId="5">
    <w:name w:val="Balloon Text"/>
    <w:basedOn w:val="1"/>
    <w:link w:val="20"/>
    <w:unhideWhenUsed/>
    <w:qFormat/>
    <w:uiPriority w:val="99"/>
    <w:rPr>
      <w:sz w:val="18"/>
      <w:szCs w:val="18"/>
    </w:r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line number"/>
    <w:basedOn w:val="10"/>
    <w:unhideWhenUsed/>
    <w:qFormat/>
    <w:uiPriority w:val="99"/>
  </w:style>
  <w:style w:type="character" w:styleId="12">
    <w:name w:val="annotation reference"/>
    <w:unhideWhenUsed/>
    <w:qFormat/>
    <w:uiPriority w:val="99"/>
    <w:rPr>
      <w:sz w:val="21"/>
      <w:szCs w:val="21"/>
    </w:rPr>
  </w:style>
  <w:style w:type="character" w:customStyle="1" w:styleId="14">
    <w:name w:val="new"/>
    <w:basedOn w:val="10"/>
    <w:qFormat/>
    <w:uiPriority w:val="0"/>
  </w:style>
  <w:style w:type="character" w:customStyle="1" w:styleId="15">
    <w:name w:val="批注文字 Char"/>
    <w:link w:val="3"/>
    <w:qFormat/>
    <w:uiPriority w:val="99"/>
    <w:rPr>
      <w:szCs w:val="24"/>
    </w:rPr>
  </w:style>
  <w:style w:type="character" w:customStyle="1" w:styleId="16">
    <w:name w:val="正文文本 Char"/>
    <w:basedOn w:val="10"/>
    <w:link w:val="4"/>
    <w:qFormat/>
    <w:uiPriority w:val="99"/>
    <w:rPr>
      <w:rFonts w:ascii="Times New Roman" w:hAnsi="Times New Roman" w:eastAsia="宋体" w:cs="Times New Roman"/>
      <w:szCs w:val="24"/>
    </w:rPr>
  </w:style>
  <w:style w:type="character" w:customStyle="1" w:styleId="17">
    <w:name w:val="批注文字 Char1"/>
    <w:basedOn w:val="10"/>
    <w:semiHidden/>
    <w:qFormat/>
    <w:uiPriority w:val="99"/>
    <w:rPr>
      <w:rFonts w:ascii="Times New Roman" w:hAnsi="Times New Roman" w:eastAsia="宋体" w:cs="Times New Roman"/>
      <w:szCs w:val="24"/>
    </w:rPr>
  </w:style>
  <w:style w:type="paragraph" w:customStyle="1" w:styleId="18">
    <w:name w:val="列出段落1"/>
    <w:basedOn w:val="1"/>
    <w:qFormat/>
    <w:uiPriority w:val="34"/>
    <w:pPr>
      <w:ind w:firstLine="420" w:firstLineChars="200"/>
    </w:pPr>
  </w:style>
  <w:style w:type="paragraph" w:customStyle="1" w:styleId="19">
    <w:name w:val="表格内容"/>
    <w:basedOn w:val="1"/>
    <w:qFormat/>
    <w:uiPriority w:val="0"/>
    <w:pPr>
      <w:suppressLineNumbers/>
    </w:pPr>
  </w:style>
  <w:style w:type="character" w:customStyle="1" w:styleId="20">
    <w:name w:val="批注框文本 Char"/>
    <w:basedOn w:val="10"/>
    <w:link w:val="5"/>
    <w:semiHidden/>
    <w:qFormat/>
    <w:uiPriority w:val="99"/>
    <w:rPr>
      <w:rFonts w:ascii="Times New Roman" w:hAnsi="Times New Roman" w:eastAsia="宋体" w:cs="Times New Roman"/>
      <w:sz w:val="18"/>
      <w:szCs w:val="18"/>
    </w:rPr>
  </w:style>
  <w:style w:type="character" w:customStyle="1" w:styleId="21">
    <w:name w:val="页眉 Char"/>
    <w:basedOn w:val="10"/>
    <w:link w:val="7"/>
    <w:qFormat/>
    <w:uiPriority w:val="99"/>
    <w:rPr>
      <w:rFonts w:ascii="Times New Roman" w:hAnsi="Times New Roman" w:eastAsia="宋体" w:cs="Times New Roman"/>
      <w:kern w:val="2"/>
      <w:sz w:val="18"/>
      <w:szCs w:val="18"/>
    </w:rPr>
  </w:style>
  <w:style w:type="character" w:customStyle="1" w:styleId="22">
    <w:name w:val="页脚 Char"/>
    <w:basedOn w:val="10"/>
    <w:link w:val="6"/>
    <w:qFormat/>
    <w:uiPriority w:val="99"/>
    <w:rPr>
      <w:rFonts w:ascii="Times New Roman" w:hAnsi="Times New Roman" w:eastAsia="宋体" w:cs="Times New Roman"/>
      <w:kern w:val="2"/>
      <w:sz w:val="18"/>
      <w:szCs w:val="18"/>
    </w:rPr>
  </w:style>
  <w:style w:type="character" w:customStyle="1" w:styleId="23">
    <w:name w:val="批注主题 Char"/>
    <w:basedOn w:val="15"/>
    <w:link w:val="2"/>
    <w:semiHidden/>
    <w:qFormat/>
    <w:uiPriority w:val="99"/>
    <w:rPr>
      <w:rFonts w:ascii="Times New Roman" w:hAnsi="Times New Roman" w:eastAsia="宋体" w:cs="Times New Roman"/>
      <w:b/>
      <w:bCs/>
      <w:kern w:val="2"/>
      <w:sz w:val="21"/>
      <w:szCs w:val="24"/>
    </w:rPr>
  </w:style>
  <w:style w:type="paragraph" w:customStyle="1" w:styleId="2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769FFC-4701-4B26-A527-82572B358681}">
  <ds:schemaRefs/>
</ds:datastoreItem>
</file>

<file path=docProps/app.xml><?xml version="1.0" encoding="utf-8"?>
<Properties xmlns="http://schemas.openxmlformats.org/officeDocument/2006/extended-properties" xmlns:vt="http://schemas.openxmlformats.org/officeDocument/2006/docPropsVTypes">
  <Template>Normal</Template>
  <Pages>20</Pages>
  <Words>1545</Words>
  <Characters>8812</Characters>
  <Lines>73</Lines>
  <Paragraphs>20</Paragraphs>
  <ScaleCrop>false</ScaleCrop>
  <LinksUpToDate>false</LinksUpToDate>
  <CharactersWithSpaces>10337</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2016-10-18T06:52:00Z</dcterms:created>
  <dc:creator>pengl</dc:creator>
  <cp:lastModifiedBy>cc</cp:lastModifiedBy>
  <dcterms:modified xsi:type="dcterms:W3CDTF">2016-10-19T03:14:12Z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